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9C0D86" w14:textId="462CD82C" w:rsidR="00997B66" w:rsidRDefault="002243A6" w:rsidP="002243A6">
      <w:pPr>
        <w:pStyle w:val="SOAHDocketNo"/>
      </w:pPr>
      <w:r>
        <w:t xml:space="preserve">soah docket no. </w:t>
      </w:r>
      <w:r w:rsidR="006C7E36">
        <w:t>473-20-4709.WS</w:t>
      </w:r>
    </w:p>
    <w:p w14:paraId="510473CA" w14:textId="1427DB8F" w:rsidR="002243A6" w:rsidRDefault="002243A6" w:rsidP="002243A6">
      <w:pPr>
        <w:pStyle w:val="PUCDocketNo"/>
      </w:pPr>
      <w:r>
        <w:t>puc docket no. 50944</w:t>
      </w:r>
    </w:p>
    <w:p w14:paraId="581EBEF4" w14:textId="77777777" w:rsidR="00D35909" w:rsidRPr="00D35909" w:rsidRDefault="00D35909" w:rsidP="00D35909"/>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326"/>
        <w:gridCol w:w="4653"/>
      </w:tblGrid>
      <w:tr w:rsidR="002243A6" w14:paraId="78807D9A" w14:textId="77777777" w:rsidTr="002243A6">
        <w:tc>
          <w:tcPr>
            <w:tcW w:w="4495" w:type="dxa"/>
          </w:tcPr>
          <w:p w14:paraId="35A8766B" w14:textId="0720D920" w:rsidR="002243A6" w:rsidRDefault="002243A6" w:rsidP="002243A6">
            <w:pPr>
              <w:pStyle w:val="CaptionHeading"/>
              <w:jc w:val="left"/>
            </w:pPr>
            <w:r>
              <w:t>application of monarch utilities i, l.p. for authority to change rates</w:t>
            </w:r>
          </w:p>
        </w:tc>
        <w:tc>
          <w:tcPr>
            <w:tcW w:w="270" w:type="dxa"/>
          </w:tcPr>
          <w:p w14:paraId="1AD3BCE4" w14:textId="77777777" w:rsidR="002243A6" w:rsidRDefault="002243A6" w:rsidP="002243A6">
            <w:pPr>
              <w:pStyle w:val="CaptionSectionSymbol"/>
              <w:jc w:val="both"/>
            </w:pPr>
            <w:r>
              <w:t>§</w:t>
            </w:r>
          </w:p>
          <w:p w14:paraId="48023E62" w14:textId="77777777" w:rsidR="002243A6" w:rsidRDefault="002243A6" w:rsidP="002243A6">
            <w:pPr>
              <w:pStyle w:val="CaptionSectionSymbol"/>
              <w:jc w:val="both"/>
            </w:pPr>
            <w:r>
              <w:t>§</w:t>
            </w:r>
          </w:p>
          <w:p w14:paraId="1920215A" w14:textId="77777777" w:rsidR="002243A6" w:rsidRDefault="002243A6" w:rsidP="002243A6">
            <w:pPr>
              <w:pStyle w:val="CaptionSectionSymbol"/>
              <w:jc w:val="both"/>
            </w:pPr>
            <w:r>
              <w:t>§</w:t>
            </w:r>
          </w:p>
        </w:tc>
        <w:tc>
          <w:tcPr>
            <w:tcW w:w="4680" w:type="dxa"/>
          </w:tcPr>
          <w:p w14:paraId="00AC34D1" w14:textId="77777777" w:rsidR="002243A6" w:rsidRDefault="002243A6" w:rsidP="00045EFE">
            <w:pPr>
              <w:pStyle w:val="SOAHCaption"/>
            </w:pPr>
            <w:r>
              <w:t>before the state office</w:t>
            </w:r>
          </w:p>
          <w:p w14:paraId="6972F576" w14:textId="77777777" w:rsidR="002243A6" w:rsidRDefault="002243A6" w:rsidP="00045EFE">
            <w:pPr>
              <w:pStyle w:val="SOAHCaption"/>
            </w:pPr>
            <w:r>
              <w:t>of</w:t>
            </w:r>
          </w:p>
          <w:p w14:paraId="7A3FB144" w14:textId="77777777" w:rsidR="002243A6" w:rsidRDefault="002243A6" w:rsidP="00045EFE">
            <w:pPr>
              <w:pStyle w:val="SOAHCaption"/>
            </w:pPr>
            <w:r>
              <w:t>administrative hearings</w:t>
            </w:r>
          </w:p>
        </w:tc>
      </w:tr>
    </w:tbl>
    <w:p w14:paraId="542E8B00" w14:textId="5E5F3A23" w:rsidR="002243A6" w:rsidRDefault="002243A6" w:rsidP="002243A6">
      <w:pPr>
        <w:pStyle w:val="PleadingTitle"/>
      </w:pPr>
      <w:r>
        <w:t xml:space="preserve">joint </w:t>
      </w:r>
      <w:r w:rsidR="00FF389F">
        <w:t xml:space="preserve">response to monarch utilities i, l.p.’s objection to the joint </w:t>
      </w:r>
      <w:r>
        <w:t xml:space="preserve">motion </w:t>
      </w:r>
      <w:r w:rsidR="00D35909">
        <w:t>to set</w:t>
      </w:r>
      <w:r>
        <w:t xml:space="preserve"> interim rates</w:t>
      </w:r>
      <w:r w:rsidR="0099386B">
        <w:t xml:space="preserve"> until a final order is issued</w:t>
      </w:r>
    </w:p>
    <w:p w14:paraId="11F6C426" w14:textId="517814AB" w:rsidR="002243A6" w:rsidRDefault="00C02519" w:rsidP="002243A6">
      <w:pPr>
        <w:pStyle w:val="BodyText"/>
      </w:pPr>
      <w:r>
        <w:t xml:space="preserve">The </w:t>
      </w:r>
      <w:r w:rsidR="00D35909">
        <w:t>Staff of the Public Utility Commission of Texas (</w:t>
      </w:r>
      <w:r w:rsidR="00112B8B">
        <w:t>Staff</w:t>
      </w:r>
      <w:r w:rsidR="00D35909">
        <w:t>) and the Office of Public Utility Counsel (OPUC) (collectively</w:t>
      </w:r>
      <w:r w:rsidR="00FF747D">
        <w:t>, th</w:t>
      </w:r>
      <w:r>
        <w:t>e</w:t>
      </w:r>
      <w:r w:rsidR="00D35909">
        <w:t xml:space="preserve"> Movants) file this </w:t>
      </w:r>
      <w:r w:rsidR="00F254C1">
        <w:t xml:space="preserve">Joint Response to Monarch Utilities I, L.P.’s Objection to the </w:t>
      </w:r>
      <w:r w:rsidR="00D35909">
        <w:t>Joint Motion to Set Interim Rates</w:t>
      </w:r>
      <w:r w:rsidR="0099386B">
        <w:t xml:space="preserve"> Until a Final Order is Issued (Joint </w:t>
      </w:r>
      <w:r w:rsidR="00F254C1">
        <w:t>Response</w:t>
      </w:r>
      <w:r w:rsidR="0099386B">
        <w:t>)</w:t>
      </w:r>
      <w:r w:rsidR="00D35909">
        <w:t xml:space="preserve"> in this docket.  The undersigned is authorized to represent that the Movants support this Joint </w:t>
      </w:r>
      <w:r w:rsidR="00112B8B">
        <w:t>Response</w:t>
      </w:r>
      <w:r w:rsidR="00D35909">
        <w:t xml:space="preserve">, which is timely filed under 16 Texas Administrative Code (TAC) § </w:t>
      </w:r>
      <w:r w:rsidR="00F254C1">
        <w:t>22.78</w:t>
      </w:r>
      <w:r w:rsidR="00D35909">
        <w:t xml:space="preserve">(a).  In support of this Joint </w:t>
      </w:r>
      <w:r w:rsidR="00F254C1">
        <w:t>Response</w:t>
      </w:r>
      <w:r w:rsidR="00D35909">
        <w:t>, the Movants respectfully show the following:</w:t>
      </w:r>
    </w:p>
    <w:p w14:paraId="5F293FC0" w14:textId="6410A063" w:rsidR="00D35909" w:rsidRDefault="00900EBC" w:rsidP="00900EBC">
      <w:pPr>
        <w:pStyle w:val="CenteredHeadingsforListsinPleading"/>
      </w:pPr>
      <w:r>
        <w:t>Background</w:t>
      </w:r>
    </w:p>
    <w:p w14:paraId="6CE5E1EF" w14:textId="5FC23C0A" w:rsidR="00900EBC" w:rsidRDefault="00900EBC" w:rsidP="00900EBC">
      <w:pPr>
        <w:pStyle w:val="BodyText"/>
      </w:pPr>
      <w:r>
        <w:t>On July 15, 2020, Monarch Utilities I, L.P. (Monarch</w:t>
      </w:r>
      <w:r w:rsidR="003B2BF0">
        <w:t xml:space="preserve"> </w:t>
      </w:r>
      <w:r w:rsidR="003B2BF0" w:rsidRPr="007E7EBC">
        <w:t>or the Company</w:t>
      </w:r>
      <w:r>
        <w:t xml:space="preserve">) filed an application for authority to change rates pursuant to Texas Water Code (TWC) § 13.178 and 16 TAC § 24.27.  </w:t>
      </w:r>
      <w:r w:rsidR="008D308E">
        <w:t xml:space="preserve">Monarch has approximately 30,000 active connections under water certificate of convenience and necessity (CCN) number 12983 and approximately 4,400 active connections under sewer CCN number 20899.  Monarch is a Class A utility.  On August 18, 2020, the </w:t>
      </w:r>
      <w:r w:rsidR="00C02519">
        <w:t xml:space="preserve">Commission </w:t>
      </w:r>
      <w:r w:rsidR="008D308E">
        <w:t xml:space="preserve">Administrative Law Judge (ALJ) issued Commission Order No. 3, finding the application and notice sufficient.  Commission Order No. 3 also suspended the effective date for all proposed rates through the pendency of this case.  On August 31, 2020, the Commission referred this docket to the State Office of Administrative Hearings (SOAH).  </w:t>
      </w:r>
    </w:p>
    <w:p w14:paraId="3BDCE0D4" w14:textId="7B23206E" w:rsidR="00403024" w:rsidRDefault="0053210D" w:rsidP="00900EBC">
      <w:pPr>
        <w:pStyle w:val="BodyText"/>
      </w:pPr>
      <w:r>
        <w:t xml:space="preserve">On September 28, 2020, Monarch, Staff, and OPUC filed a Joint Motion to Set Interim Rates, Extend Effective Date, and Adopt Joint Proposed Procedural Schedule.  </w:t>
      </w:r>
      <w:r w:rsidR="00A85FB5">
        <w:t xml:space="preserve">On October 15, 2020, the </w:t>
      </w:r>
      <w:r w:rsidR="00C02519">
        <w:t xml:space="preserve">SOAH </w:t>
      </w:r>
      <w:r w:rsidR="00A85FB5">
        <w:t xml:space="preserve">ALJs issued SOAH Order No. 3 Approving Agreed Interim Rates; Unconditionally Adopting Procedural Schedule Set Forth in SOAH Order No. 2; and Recognizing Extension of Effective Date.  SOAH Order No. 3 adopted interim rates in two phases.  The first phase sets interim rates at Monarch’s current rates, effective September 18, 2020.  The second phase sets interim rates at Monarch’s proposed rates, effective February 1, 2021.  SOAH Order </w:t>
      </w:r>
      <w:r w:rsidR="00A85FB5">
        <w:lastRenderedPageBreak/>
        <w:t xml:space="preserve">No. 3 also extended the suspension of the effective date of the proposed rates until May 31, 2021.  </w:t>
      </w:r>
      <w:r w:rsidR="00066C74">
        <w:t xml:space="preserve">SOAH Order No. 3 does not </w:t>
      </w:r>
      <w:bookmarkStart w:id="0" w:name="_Hlk72225825"/>
      <w:r w:rsidR="00066C74">
        <w:t xml:space="preserve">clearly identify whether the interim rates remain in effect until the end of the suspension period or until a final order is issued in this </w:t>
      </w:r>
      <w:r w:rsidR="000707CB">
        <w:t>proceeding</w:t>
      </w:r>
      <w:bookmarkEnd w:id="0"/>
      <w:r w:rsidR="003360BB">
        <w:t>. If the current interim rates expire on May 31, 2021,</w:t>
      </w:r>
      <w:r w:rsidR="00101D94">
        <w:t xml:space="preserve"> </w:t>
      </w:r>
      <w:r w:rsidR="003360BB">
        <w:t>the rates proposed by Monarch in its application</w:t>
      </w:r>
      <w:r w:rsidR="00101D94">
        <w:t xml:space="preserve"> would be considered approved under </w:t>
      </w:r>
      <w:r w:rsidR="005B1CF8">
        <w:t xml:space="preserve">16 TAC </w:t>
      </w:r>
      <w:r w:rsidR="005B1CF8" w:rsidRPr="0051637F">
        <w:t>§</w:t>
      </w:r>
      <w:r w:rsidR="005B1CF8">
        <w:t xml:space="preserve"> 24.33(e).</w:t>
      </w:r>
      <w:r w:rsidR="003360BB">
        <w:t xml:space="preserve"> The Movants note that the </w:t>
      </w:r>
      <w:r w:rsidR="003B2BF0" w:rsidRPr="007E7EBC">
        <w:t>Company’s</w:t>
      </w:r>
      <w:r w:rsidR="003B2BF0">
        <w:t xml:space="preserve"> </w:t>
      </w:r>
      <w:r w:rsidR="003360BB">
        <w:t xml:space="preserve">proposed rates are higher than </w:t>
      </w:r>
      <w:r w:rsidR="003360BB" w:rsidRPr="007E7EBC">
        <w:t>the</w:t>
      </w:r>
      <w:r w:rsidR="003360BB">
        <w:t xml:space="preserve"> rates agreed to by the parties as part of the settlement.</w:t>
      </w:r>
    </w:p>
    <w:p w14:paraId="389ED22B" w14:textId="06462B4F" w:rsidR="00101D94" w:rsidRDefault="00C02519" w:rsidP="00900EBC">
      <w:pPr>
        <w:pStyle w:val="BodyText"/>
      </w:pPr>
      <w:r>
        <w:t xml:space="preserve">On February 2, 2021, Monarch, Staff, and OPUC filed an agreed motion to abate the proceeding after reaching a settlement in principle. </w:t>
      </w:r>
      <w:r w:rsidR="003B2BF0" w:rsidRPr="007E7EBC">
        <w:t>O</w:t>
      </w:r>
      <w:r w:rsidRPr="007E7EBC">
        <w:t>n</w:t>
      </w:r>
      <w:r>
        <w:t xml:space="preserve"> February 2, 2021, the SOAH ALJs </w:t>
      </w:r>
      <w:r w:rsidR="003B2BF0" w:rsidRPr="007E7EBC">
        <w:t>also</w:t>
      </w:r>
      <w:r w:rsidR="003B2BF0">
        <w:t xml:space="preserve"> </w:t>
      </w:r>
      <w:r>
        <w:t>issued SOAH Order No. 7, which granted the requested abatement</w:t>
      </w:r>
      <w:r w:rsidR="00094F7E">
        <w:t xml:space="preserve"> to allow the parties time to prepare final settlement documents. </w:t>
      </w:r>
      <w:r w:rsidR="00B84895">
        <w:t>The Movants note that complexities resulting from the size of the CCNs at issue in this proceeding have presented challenges that have required time to work through</w:t>
      </w:r>
      <w:r w:rsidR="003B2BF0">
        <w:t xml:space="preserve"> </w:t>
      </w:r>
      <w:r w:rsidR="003B2BF0" w:rsidRPr="007E7EBC">
        <w:t>by the parties</w:t>
      </w:r>
      <w:r w:rsidR="00B84895">
        <w:t xml:space="preserve">. </w:t>
      </w:r>
      <w:r w:rsidR="00094F7E">
        <w:t>At this time, the Movants continue to work diligently with Monarch to finalize the settlement documents</w:t>
      </w:r>
      <w:r w:rsidR="00B84895">
        <w:t xml:space="preserve"> and expect to file a complete settlement package on May 28, 2021. </w:t>
      </w:r>
    </w:p>
    <w:p w14:paraId="4CF819F7" w14:textId="331B6335" w:rsidR="00FF389F" w:rsidRDefault="00FF389F" w:rsidP="00900EBC">
      <w:pPr>
        <w:pStyle w:val="BodyText"/>
      </w:pPr>
      <w:r>
        <w:t xml:space="preserve">On May 19, 2021, the Movants filed a Joint Motion to Set Interim Rates Until a Final Order is Issued (Joint Motion), requesting that the interim rates currently set in this proceeding be extended until a final rate is set pursuant to 16 TAC </w:t>
      </w:r>
      <w:r w:rsidRPr="0051637F">
        <w:t>§</w:t>
      </w:r>
      <w:r>
        <w:t xml:space="preserve"> 24.37(b). On May 20, 2021, Monarch filed its objection to the Joint Motion.</w:t>
      </w:r>
      <w:r w:rsidR="004B663D">
        <w:t xml:space="preserve"> The Movants and Monarch are currently</w:t>
      </w:r>
      <w:r w:rsidR="00AD2641">
        <w:t xml:space="preserve"> engaged</w:t>
      </w:r>
      <w:r w:rsidR="004B663D">
        <w:t xml:space="preserve"> in </w:t>
      </w:r>
      <w:r w:rsidR="00AD2641">
        <w:t xml:space="preserve">ongoing </w:t>
      </w:r>
      <w:r w:rsidR="004B663D">
        <w:t>discussion</w:t>
      </w:r>
      <w:r w:rsidR="00AD2641">
        <w:t>s</w:t>
      </w:r>
      <w:r w:rsidR="004B663D">
        <w:t xml:space="preserve"> regarding how to proceed with the extension of interim rates.</w:t>
      </w:r>
    </w:p>
    <w:p w14:paraId="0259E689" w14:textId="77777777" w:rsidR="00094F7E" w:rsidRDefault="00094F7E" w:rsidP="00900EBC">
      <w:pPr>
        <w:pStyle w:val="BodyText"/>
      </w:pPr>
    </w:p>
    <w:p w14:paraId="792ECF8E" w14:textId="0D9A43D8" w:rsidR="00FA52CB" w:rsidRDefault="00FF389F" w:rsidP="00FA52CB">
      <w:pPr>
        <w:pStyle w:val="CenteredHeadingsforListsinPleading"/>
      </w:pPr>
      <w:r>
        <w:t>joint response to monarch’s objection</w:t>
      </w:r>
    </w:p>
    <w:p w14:paraId="3955A177" w14:textId="7B3B3CF7" w:rsidR="00FF389F" w:rsidRDefault="00FF389F" w:rsidP="00FF389F">
      <w:pPr>
        <w:pStyle w:val="BodyText"/>
      </w:pPr>
      <w:r>
        <w:t xml:space="preserve">Under </w:t>
      </w:r>
      <w:r w:rsidR="00E61A48">
        <w:t>Texas Water Code (</w:t>
      </w:r>
      <w:r>
        <w:t>TWC</w:t>
      </w:r>
      <w:r w:rsidR="00E61A48">
        <w:t>)</w:t>
      </w:r>
      <w:r>
        <w:t xml:space="preserve"> </w:t>
      </w:r>
      <w:r w:rsidRPr="0051637F">
        <w:t>§</w:t>
      </w:r>
      <w:r>
        <w:t xml:space="preserve"> 13.187(</w:t>
      </w:r>
      <w:r w:rsidRPr="00FF389F">
        <w:rPr>
          <w:i/>
          <w:iCs/>
        </w:rPr>
        <w:t>l</w:t>
      </w:r>
      <w:r>
        <w:t xml:space="preserve">), a regulatory authority may, at any time during the pendency of the rate proceeding, “fix interim rates to remain in effect…until a final determination is made on the proposed rate.” Likewise, 16 TAC </w:t>
      </w:r>
      <w:r w:rsidRPr="0051637F">
        <w:t>§</w:t>
      </w:r>
      <w:r>
        <w:t xml:space="preserve"> 24.37(b) states that “[a]t any time after the filing of a statement of intent to change rates…commission staff may petition the commission to set interim rates to remain in effect until further commission action or a final rate determination is made.”</w:t>
      </w:r>
    </w:p>
    <w:p w14:paraId="0793D22D" w14:textId="1C1A7FEE" w:rsidR="008D5B92" w:rsidRDefault="008D5B92" w:rsidP="00FF389F">
      <w:pPr>
        <w:pStyle w:val="BodyText"/>
      </w:pPr>
      <w:r>
        <w:t>In its objection to the Joint Motion, Monarch argues that the effect of the Movants</w:t>
      </w:r>
      <w:r w:rsidR="00F254C1">
        <w:t>’</w:t>
      </w:r>
      <w:r>
        <w:t xml:space="preserve"> request to set interim rates until a final rate is set by the Commission </w:t>
      </w:r>
      <w:r w:rsidR="00F32F84">
        <w:t>would be</w:t>
      </w:r>
      <w:r>
        <w:t xml:space="preserve"> “contrary to the TWC and </w:t>
      </w:r>
      <w:r>
        <w:lastRenderedPageBreak/>
        <w:t>the Commission's rules regarding effective date suspension.”</w:t>
      </w:r>
      <w:r>
        <w:rPr>
          <w:rStyle w:val="FootnoteReference"/>
        </w:rPr>
        <w:footnoteReference w:id="1"/>
      </w:r>
      <w:r>
        <w:t xml:space="preserve"> Monarch argues that TWC </w:t>
      </w:r>
      <w:r w:rsidRPr="0051637F">
        <w:t>§</w:t>
      </w:r>
      <w:r w:rsidR="00F32F84">
        <w:t> </w:t>
      </w:r>
      <w:r>
        <w:t>13.187(e) establishes a 150-day suspension period and unambiguously requires a utility’s proposed rates to be approved if a final determination is not made by the end of the 150-day suspension</w:t>
      </w:r>
      <w:r w:rsidR="00F11E46">
        <w:t xml:space="preserve">. </w:t>
      </w:r>
    </w:p>
    <w:p w14:paraId="4CEA5F98" w14:textId="1505BF2C" w:rsidR="008D5B92" w:rsidRDefault="00F32F84" w:rsidP="00FF389F">
      <w:pPr>
        <w:pStyle w:val="BodyText"/>
      </w:pPr>
      <w:r>
        <w:t xml:space="preserve">The Movants </w:t>
      </w:r>
      <w:r w:rsidR="00F11E46">
        <w:t xml:space="preserve">reject Monarch’s </w:t>
      </w:r>
      <w:r>
        <w:t>argument</w:t>
      </w:r>
      <w:r w:rsidR="00F11E46">
        <w:t xml:space="preserve"> that </w:t>
      </w:r>
      <w:r>
        <w:t xml:space="preserve">extending </w:t>
      </w:r>
      <w:r w:rsidR="00F11E46">
        <w:t>interim rates until a final order is issued would “circumvent the Legislature's limited suspension period through the use of interim rates, and no authority to do so exists</w:t>
      </w:r>
      <w:r>
        <w:t>.”</w:t>
      </w:r>
      <w:r w:rsidR="00F11E46">
        <w:rPr>
          <w:rStyle w:val="FootnoteReference"/>
        </w:rPr>
        <w:footnoteReference w:id="2"/>
      </w:r>
      <w:r w:rsidR="00F11E46">
        <w:t xml:space="preserve"> </w:t>
      </w:r>
      <w:r w:rsidR="008D5B92">
        <w:t xml:space="preserve">Monarch’s objection fails to recognize the full text of TWC </w:t>
      </w:r>
      <w:r w:rsidR="008D5B92" w:rsidRPr="0051637F">
        <w:t>§</w:t>
      </w:r>
      <w:r w:rsidR="008D5B92">
        <w:t xml:space="preserve"> 13.187(</w:t>
      </w:r>
      <w:r w:rsidR="008D5B92" w:rsidRPr="008D5B92">
        <w:rPr>
          <w:i/>
          <w:iCs/>
        </w:rPr>
        <w:t>l</w:t>
      </w:r>
      <w:r w:rsidR="008D5B92">
        <w:t xml:space="preserve">), which </w:t>
      </w:r>
      <w:r>
        <w:t>expressly</w:t>
      </w:r>
      <w:r w:rsidR="008D5B92">
        <w:t xml:space="preserve"> rejects Monarch’s proposed interpretation of TWC </w:t>
      </w:r>
      <w:r w:rsidR="008D5B92" w:rsidRPr="0051637F">
        <w:t>§</w:t>
      </w:r>
      <w:r w:rsidR="00B63E53">
        <w:t> </w:t>
      </w:r>
      <w:r w:rsidR="008D5B92">
        <w:t>13.187(e)</w:t>
      </w:r>
      <w:r w:rsidR="0058409D">
        <w:t xml:space="preserve"> and allows a regulatory authority to </w:t>
      </w:r>
      <w:r w:rsidR="00B63E53">
        <w:t>establish</w:t>
      </w:r>
      <w:r w:rsidR="0058409D">
        <w:t xml:space="preserve"> interim rates in effect beyond the 150-day suspension period</w:t>
      </w:r>
      <w:r w:rsidR="008D5B92">
        <w:t xml:space="preserve">. Specifically, TWC </w:t>
      </w:r>
      <w:r w:rsidR="008D5B92" w:rsidRPr="0051637F">
        <w:t>§</w:t>
      </w:r>
      <w:r w:rsidR="008D5B92">
        <w:t xml:space="preserve"> 13.187(</w:t>
      </w:r>
      <w:r w:rsidR="008D5B92" w:rsidRPr="008D5B92">
        <w:rPr>
          <w:i/>
          <w:iCs/>
        </w:rPr>
        <w:t>l</w:t>
      </w:r>
      <w:r w:rsidR="008D5B92">
        <w:t xml:space="preserve">) states: </w:t>
      </w:r>
    </w:p>
    <w:p w14:paraId="495BEA56" w14:textId="5DD16A59" w:rsidR="008D5B92" w:rsidRDefault="008D5B92" w:rsidP="00BD38B6">
      <w:pPr>
        <w:pStyle w:val="BodyText"/>
        <w:spacing w:after="240" w:line="240" w:lineRule="auto"/>
        <w:ind w:left="720" w:right="720" w:firstLine="0"/>
        <w:contextualSpacing w:val="0"/>
      </w:pPr>
      <w:r>
        <w:t xml:space="preserve">At any time during the pendency of the rate proceeding the regulatory authority may fix interim rates to remain in effect during the applicable suspension period under Subsection (d-1) or Subsections (e) and (e-1) </w:t>
      </w:r>
      <w:r w:rsidRPr="0058409D">
        <w:rPr>
          <w:i/>
          <w:iCs/>
        </w:rPr>
        <w:t>or until a final determination is made on the proposed rate</w:t>
      </w:r>
      <w:r>
        <w:t>. If the regulatory authority does not establish interim rates, the rates in effect when the application described by Subsection (c) was filed continue in effect during the suspension period.</w:t>
      </w:r>
      <w:r>
        <w:rPr>
          <w:rStyle w:val="FootnoteReference"/>
        </w:rPr>
        <w:footnoteReference w:id="3"/>
      </w:r>
    </w:p>
    <w:p w14:paraId="4447CDD9" w14:textId="5375C34E" w:rsidR="0058409D" w:rsidRDefault="0058409D" w:rsidP="0058409D">
      <w:pPr>
        <w:pStyle w:val="BodyText"/>
        <w:ind w:firstLine="0"/>
      </w:pPr>
      <w:r w:rsidRPr="002E1E08">
        <w:t>Thus</w:t>
      </w:r>
      <w:r>
        <w:t xml:space="preserve">, contrary to Monarch’s argument, the </w:t>
      </w:r>
      <w:r w:rsidR="00F32F84">
        <w:t xml:space="preserve">plain language of the </w:t>
      </w:r>
      <w:r>
        <w:t>TWC expressly provides</w:t>
      </w:r>
      <w:r w:rsidR="00B63E53">
        <w:t xml:space="preserve"> statutory authority</w:t>
      </w:r>
      <w:r>
        <w:t xml:space="preserve"> for interim rates to be set until a final rate is determined, even if that final rate is established after the close of the 150-day suspension period described in TWC </w:t>
      </w:r>
      <w:r w:rsidRPr="0051637F">
        <w:t>§</w:t>
      </w:r>
      <w:r>
        <w:t xml:space="preserve"> 13.187(e).</w:t>
      </w:r>
      <w:r w:rsidR="00F11E46">
        <w:t xml:space="preserve"> </w:t>
      </w:r>
    </w:p>
    <w:p w14:paraId="2CFD0C59" w14:textId="7DF88E8D" w:rsidR="006A773F" w:rsidRDefault="0058409D" w:rsidP="0058409D">
      <w:pPr>
        <w:pStyle w:val="BodyText"/>
        <w:ind w:firstLine="0"/>
      </w:pPr>
      <w:r>
        <w:tab/>
        <w:t xml:space="preserve">Beyond </w:t>
      </w:r>
      <w:r w:rsidR="00A172F7">
        <w:t xml:space="preserve">the </w:t>
      </w:r>
      <w:r>
        <w:t xml:space="preserve">clear </w:t>
      </w:r>
      <w:r w:rsidR="00F11E46">
        <w:t xml:space="preserve">statutory </w:t>
      </w:r>
      <w:r w:rsidR="00A172F7">
        <w:t>language in TWC § 13.187(</w:t>
      </w:r>
      <w:r w:rsidR="00A172F7">
        <w:rPr>
          <w:i/>
          <w:iCs/>
        </w:rPr>
        <w:t>l</w:t>
      </w:r>
      <w:r w:rsidR="00A172F7">
        <w:t xml:space="preserve">) that provides the Commission the authority </w:t>
      </w:r>
      <w:r>
        <w:t xml:space="preserve">to </w:t>
      </w:r>
      <w:r w:rsidR="00F32F84">
        <w:t>fix</w:t>
      </w:r>
      <w:r>
        <w:t xml:space="preserve"> interim rates until a final order is issued</w:t>
      </w:r>
      <w:r w:rsidR="00A172F7">
        <w:t xml:space="preserve"> by the Commission</w:t>
      </w:r>
      <w:r w:rsidR="00B63E53">
        <w:t>,</w:t>
      </w:r>
      <w:r w:rsidR="00F32F84">
        <w:t xml:space="preserve"> the Movants note that it is common practice to establish interim rates until a final determination </w:t>
      </w:r>
      <w:r w:rsidR="00996698">
        <w:t>of base rates</w:t>
      </w:r>
      <w:r w:rsidR="00A172F7">
        <w:t xml:space="preserve"> </w:t>
      </w:r>
      <w:r w:rsidR="00F32F84">
        <w:t>is made</w:t>
      </w:r>
      <w:r w:rsidR="00A172F7">
        <w:t xml:space="preserve"> by the Commission</w:t>
      </w:r>
      <w:r w:rsidR="00F32F84">
        <w:t>. Specifically, the Movants note that</w:t>
      </w:r>
      <w:r w:rsidR="00B63E53">
        <w:t xml:space="preserve"> </w:t>
      </w:r>
      <w:r>
        <w:t xml:space="preserve">interim rates </w:t>
      </w:r>
      <w:r w:rsidR="00996698">
        <w:t xml:space="preserve">have been </w:t>
      </w:r>
      <w:r w:rsidR="00F32F84">
        <w:t>set</w:t>
      </w:r>
      <w:r>
        <w:t xml:space="preserve"> until a final rate was determined</w:t>
      </w:r>
      <w:r w:rsidR="00723E1E">
        <w:t xml:space="preserve"> </w:t>
      </w:r>
      <w:r w:rsidR="00996698">
        <w:t xml:space="preserve">by the Commission </w:t>
      </w:r>
      <w:r w:rsidR="00723E1E">
        <w:t xml:space="preserve">in </w:t>
      </w:r>
      <w:r w:rsidR="00B63E53">
        <w:t>past</w:t>
      </w:r>
      <w:r w:rsidR="00723E1E">
        <w:t xml:space="preserve"> </w:t>
      </w:r>
      <w:r w:rsidR="00E61A48">
        <w:t xml:space="preserve">water </w:t>
      </w:r>
      <w:r w:rsidR="00723E1E">
        <w:t xml:space="preserve">utility rate </w:t>
      </w:r>
      <w:r w:rsidR="00996698">
        <w:t xml:space="preserve">case </w:t>
      </w:r>
      <w:r w:rsidR="00723E1E">
        <w:t>proceeding</w:t>
      </w:r>
      <w:r w:rsidR="00B63E53">
        <w:t>s</w:t>
      </w:r>
      <w:r>
        <w:t xml:space="preserve"> in Docket Nos. </w:t>
      </w:r>
      <w:r w:rsidR="00701837">
        <w:lastRenderedPageBreak/>
        <w:t>45570,</w:t>
      </w:r>
      <w:r w:rsidR="00701837">
        <w:rPr>
          <w:rStyle w:val="FootnoteReference"/>
        </w:rPr>
        <w:footnoteReference w:id="4"/>
      </w:r>
      <w:r w:rsidR="00701837">
        <w:t xml:space="preserve"> </w:t>
      </w:r>
      <w:r>
        <w:t>47736</w:t>
      </w:r>
      <w:r w:rsidR="00701837">
        <w:t>,</w:t>
      </w:r>
      <w:r w:rsidR="00701837">
        <w:rPr>
          <w:rStyle w:val="FootnoteReference"/>
        </w:rPr>
        <w:footnoteReference w:id="5"/>
      </w:r>
      <w:r w:rsidR="00701837">
        <w:t xml:space="preserve"> 49887,</w:t>
      </w:r>
      <w:r w:rsidR="00701837">
        <w:rPr>
          <w:rStyle w:val="FootnoteReference"/>
        </w:rPr>
        <w:footnoteReference w:id="6"/>
      </w:r>
      <w:r w:rsidR="00701837">
        <w:t xml:space="preserve"> and 50200.</w:t>
      </w:r>
      <w:r w:rsidR="00701837">
        <w:rPr>
          <w:rStyle w:val="FootnoteReference"/>
        </w:rPr>
        <w:footnoteReference w:id="7"/>
      </w:r>
      <w:r w:rsidR="00723E1E">
        <w:t xml:space="preserve"> The Movants</w:t>
      </w:r>
      <w:r w:rsidR="00F32F84">
        <w:t xml:space="preserve"> particularly</w:t>
      </w:r>
      <w:r w:rsidR="00723E1E">
        <w:t xml:space="preserve"> note that in Docket No. 45570, </w:t>
      </w:r>
      <w:r w:rsidR="00723E1E" w:rsidRPr="00F32F84">
        <w:rPr>
          <w:i/>
          <w:iCs/>
        </w:rPr>
        <w:t>Monarch</w:t>
      </w:r>
      <w:r w:rsidR="00996698">
        <w:t>,</w:t>
      </w:r>
      <w:r w:rsidR="00723E1E" w:rsidRPr="00F32F84">
        <w:rPr>
          <w:i/>
          <w:iCs/>
        </w:rPr>
        <w:t xml:space="preserve"> itself</w:t>
      </w:r>
      <w:r w:rsidR="00996698">
        <w:t>,</w:t>
      </w:r>
      <w:r w:rsidR="00723E1E">
        <w:t xml:space="preserve"> requested that interim rates be set until a final rate was determined </w:t>
      </w:r>
      <w:r w:rsidR="00B63E53">
        <w:t>in accordance with</w:t>
      </w:r>
      <w:r w:rsidR="00723E1E">
        <w:t xml:space="preserve"> TWC </w:t>
      </w:r>
      <w:r w:rsidR="00723E1E" w:rsidRPr="0051637F">
        <w:t>§</w:t>
      </w:r>
      <w:r w:rsidR="00F32F84">
        <w:t> </w:t>
      </w:r>
      <w:r w:rsidR="00723E1E">
        <w:t>13.187(</w:t>
      </w:r>
      <w:r w:rsidR="00723E1E" w:rsidRPr="00723E1E">
        <w:rPr>
          <w:i/>
          <w:iCs/>
        </w:rPr>
        <w:t>l</w:t>
      </w:r>
      <w:r w:rsidR="00723E1E">
        <w:t>).</w:t>
      </w:r>
      <w:r w:rsidR="00723E1E">
        <w:rPr>
          <w:rStyle w:val="FootnoteReference"/>
        </w:rPr>
        <w:footnoteReference w:id="8"/>
      </w:r>
      <w:r w:rsidR="00F32F84">
        <w:t xml:space="preserve"> </w:t>
      </w:r>
      <w:r w:rsidR="00573B25">
        <w:t xml:space="preserve">Further, </w:t>
      </w:r>
      <w:r w:rsidR="00AC00C6">
        <w:t>Monarch’s affiliate, SWWC Utilities, Inc. dba Water Services, Inc., also</w:t>
      </w:r>
      <w:r w:rsidR="00723E1E">
        <w:t xml:space="preserve"> requested that interim rates be set until a final rate was </w:t>
      </w:r>
      <w:r w:rsidR="00AC00C6">
        <w:t>determined</w:t>
      </w:r>
      <w:r w:rsidR="00996698">
        <w:t xml:space="preserve"> by the Commission</w:t>
      </w:r>
      <w:r w:rsidR="00AC00C6">
        <w:t xml:space="preserve"> in Docket No. 47736.</w:t>
      </w:r>
      <w:r w:rsidR="00AC00C6">
        <w:rPr>
          <w:rStyle w:val="FootnoteReference"/>
        </w:rPr>
        <w:footnoteReference w:id="9"/>
      </w:r>
      <w:r w:rsidR="00AC00C6">
        <w:t xml:space="preserve"> </w:t>
      </w:r>
      <w:r w:rsidR="006A773F">
        <w:t>Accordingly, the Movants emphasize that both statutory authority and prior Commission precedent support extending interim rates in this proceeding until a final rate is determined</w:t>
      </w:r>
      <w:r w:rsidR="00996698">
        <w:t xml:space="preserve"> by the Commission</w:t>
      </w:r>
      <w:r w:rsidR="006A773F">
        <w:t>.</w:t>
      </w:r>
    </w:p>
    <w:p w14:paraId="53CAD911" w14:textId="48EDC737" w:rsidR="00BD38B6" w:rsidRDefault="00045EFE" w:rsidP="0058409D">
      <w:pPr>
        <w:pStyle w:val="BodyText"/>
        <w:ind w:firstLine="0"/>
      </w:pPr>
      <w:r>
        <w:tab/>
        <w:t>Further</w:t>
      </w:r>
      <w:r w:rsidR="00E90250">
        <w:t>,</w:t>
      </w:r>
      <w:r w:rsidR="00573B25">
        <w:t xml:space="preserve"> the Movants note that </w:t>
      </w:r>
      <w:r w:rsidR="004F5190">
        <w:t xml:space="preserve">Monarch’s </w:t>
      </w:r>
      <w:r w:rsidR="00E90250">
        <w:t xml:space="preserve">October 9, 2020 </w:t>
      </w:r>
      <w:r w:rsidR="004F5190">
        <w:t>brief on interim rates in this docket</w:t>
      </w:r>
      <w:r>
        <w:t xml:space="preserve"> took </w:t>
      </w:r>
      <w:r w:rsidR="00E90250">
        <w:t xml:space="preserve">positions that align with the Movants’ request to establish interim rates until a final order is </w:t>
      </w:r>
      <w:r w:rsidR="00996698">
        <w:t>issued by the Commission</w:t>
      </w:r>
      <w:r w:rsidR="00E90250">
        <w:t>. Specifically, Monarch emphasized the</w:t>
      </w:r>
      <w:r w:rsidR="00996698">
        <w:t xml:space="preserve"> Commission’s</w:t>
      </w:r>
      <w:r w:rsidR="00E90250">
        <w:t xml:space="preserve"> authority to set interim rates at any time during the pendency of a rate-change proceeding,</w:t>
      </w:r>
      <w:r w:rsidR="00E90250">
        <w:rPr>
          <w:rStyle w:val="FootnoteReference"/>
        </w:rPr>
        <w:footnoteReference w:id="10"/>
      </w:r>
      <w:r w:rsidR="00E90250">
        <w:t xml:space="preserve"> acknowledged that the Commission’s substantive rules allow for interim rates to be set until a final decision on the requested rate change is made</w:t>
      </w:r>
      <w:r w:rsidR="00996698">
        <w:t xml:space="preserve"> by the Commission</w:t>
      </w:r>
      <w:r w:rsidR="00E90250">
        <w:t>,</w:t>
      </w:r>
      <w:r w:rsidR="00E90250">
        <w:rPr>
          <w:rStyle w:val="FootnoteReference"/>
        </w:rPr>
        <w:footnoteReference w:id="11"/>
      </w:r>
      <w:r w:rsidR="004F5190">
        <w:t xml:space="preserve"> and cited to Monarch’s previous rate case in Docket No. 45570—in which interim rates were implemented until a final rate was established by the Commission—as precedent.</w:t>
      </w:r>
      <w:r w:rsidR="004F5190">
        <w:rPr>
          <w:rStyle w:val="FootnoteReference"/>
        </w:rPr>
        <w:footnoteReference w:id="12"/>
      </w:r>
    </w:p>
    <w:p w14:paraId="5EA784D3" w14:textId="5CCCE7F2" w:rsidR="00573B25" w:rsidRDefault="001B4DCE" w:rsidP="001B4DCE">
      <w:pPr>
        <w:pStyle w:val="BodyText"/>
        <w:ind w:firstLine="0"/>
      </w:pPr>
      <w:r>
        <w:tab/>
        <w:t xml:space="preserve">Accordingly, the </w:t>
      </w:r>
      <w:r w:rsidR="00070958">
        <w:t xml:space="preserve">Movants contend that fixing interim rates until a final rate determination </w:t>
      </w:r>
      <w:r w:rsidR="008D665C">
        <w:t>is made</w:t>
      </w:r>
      <w:r w:rsidR="00996698">
        <w:t xml:space="preserve"> by the Commission</w:t>
      </w:r>
      <w:r w:rsidR="008D665C">
        <w:t xml:space="preserve"> </w:t>
      </w:r>
      <w:r w:rsidR="00070958">
        <w:t>is supported by</w:t>
      </w:r>
      <w:r w:rsidR="008D665C">
        <w:t xml:space="preserve"> both</w:t>
      </w:r>
      <w:r w:rsidR="00070958">
        <w:t xml:space="preserve"> statutory authority and Commission precedent. The Movants maintain that extending interim rates until a final order is issued</w:t>
      </w:r>
      <w:r w:rsidR="00996698">
        <w:t xml:space="preserve"> by the Commission</w:t>
      </w:r>
      <w:r w:rsidR="00070958">
        <w:t xml:space="preserve"> </w:t>
      </w:r>
      <w:r w:rsidR="00070958">
        <w:lastRenderedPageBreak/>
        <w:t xml:space="preserve">is in the public interest </w:t>
      </w:r>
      <w:r w:rsidR="00996698">
        <w:t xml:space="preserve">and </w:t>
      </w:r>
      <w:r w:rsidR="00070958">
        <w:t>this standard Commission practice would protect Monarch</w:t>
      </w:r>
      <w:r w:rsidR="00996698">
        <w:t>’s</w:t>
      </w:r>
      <w:r w:rsidR="00070958">
        <w:t xml:space="preserve"> customers from additional and unnecessary financial hardship </w:t>
      </w:r>
      <w:r w:rsidR="008D665C">
        <w:t>levied</w:t>
      </w:r>
      <w:r w:rsidR="00070958">
        <w:t xml:space="preserve"> by the imposition of Monarch’s higher proposed rates</w:t>
      </w:r>
      <w:r w:rsidR="00F254C1">
        <w:t xml:space="preserve"> without </w:t>
      </w:r>
      <w:r w:rsidR="002E1E08">
        <w:t xml:space="preserve">the issuance of </w:t>
      </w:r>
      <w:r w:rsidR="00F254C1">
        <w:t xml:space="preserve">a refund or surcharge, as </w:t>
      </w:r>
      <w:r w:rsidR="00FB7767">
        <w:t>applicable</w:t>
      </w:r>
      <w:r w:rsidR="00070958">
        <w:t xml:space="preserve">. Therefore, the Movants respectfully request that the Joint Motion be </w:t>
      </w:r>
      <w:proofErr w:type="gramStart"/>
      <w:r w:rsidR="00070958">
        <w:t>granted</w:t>
      </w:r>
      <w:r w:rsidR="004B663D">
        <w:t>, but</w:t>
      </w:r>
      <w:proofErr w:type="gramEnd"/>
      <w:r w:rsidR="004B663D">
        <w:t xml:space="preserve"> are</w:t>
      </w:r>
      <w:r w:rsidR="009323EA">
        <w:t xml:space="preserve"> engaged</w:t>
      </w:r>
      <w:r w:rsidR="004B663D">
        <w:t xml:space="preserve"> in </w:t>
      </w:r>
      <w:r w:rsidR="009323EA">
        <w:t>ongoing</w:t>
      </w:r>
      <w:r w:rsidR="004B663D">
        <w:t xml:space="preserve"> discussions with Monarch regarding the extension of interim rates.</w:t>
      </w:r>
    </w:p>
    <w:p w14:paraId="117EA801" w14:textId="77777777" w:rsidR="00573B25" w:rsidRDefault="00573B25" w:rsidP="0058409D">
      <w:pPr>
        <w:pStyle w:val="BodyText"/>
        <w:ind w:firstLine="0"/>
      </w:pPr>
    </w:p>
    <w:p w14:paraId="74BBC90F" w14:textId="64876B9D" w:rsidR="00FA52CB" w:rsidRDefault="00FA52CB" w:rsidP="00FA52CB">
      <w:pPr>
        <w:pStyle w:val="CenteredHeadingsforListsinPleading"/>
      </w:pPr>
      <w:r>
        <w:t>conclusion and prayer</w:t>
      </w:r>
    </w:p>
    <w:p w14:paraId="3A385D2C" w14:textId="3B2485C9" w:rsidR="00FA52CB" w:rsidRDefault="00070958" w:rsidP="00FA52CB">
      <w:pPr>
        <w:pStyle w:val="BodyText"/>
      </w:pPr>
      <w:r>
        <w:t>The Movants</w:t>
      </w:r>
      <w:r w:rsidR="00FA52CB">
        <w:t xml:space="preserve"> respectfully request that the ALJs enter an order </w:t>
      </w:r>
      <w:r w:rsidR="00F76D52">
        <w:t>extending interim rates</w:t>
      </w:r>
      <w:r w:rsidR="000707CB">
        <w:t xml:space="preserve"> until a final order is issued</w:t>
      </w:r>
      <w:r w:rsidR="00FF747D">
        <w:t xml:space="preserve"> by the Commission</w:t>
      </w:r>
      <w:r w:rsidR="000707CB">
        <w:t xml:space="preserve"> in this proceeding.  </w:t>
      </w:r>
      <w:r w:rsidR="00052E12">
        <w:t xml:space="preserve">The parties continue to work diligently towards finalizing settlement documents and expect to file a complete settlement package on May 28, 2021.  </w:t>
      </w:r>
    </w:p>
    <w:p w14:paraId="025C4DE7" w14:textId="534B41E4" w:rsidR="000D513B" w:rsidRDefault="000D513B">
      <w:pPr>
        <w:spacing w:after="160" w:line="259" w:lineRule="auto"/>
        <w:contextualSpacing w:val="0"/>
        <w:jc w:val="left"/>
      </w:pPr>
      <w:r>
        <w:br w:type="page"/>
      </w:r>
    </w:p>
    <w:p w14:paraId="6790395F" w14:textId="55AD1E33" w:rsidR="000707CB" w:rsidRDefault="000707CB" w:rsidP="000707CB">
      <w:pPr>
        <w:pStyle w:val="SignatureBlock"/>
      </w:pPr>
      <w:r>
        <w:lastRenderedPageBreak/>
        <w:t>Respectfully submitted,</w:t>
      </w:r>
    </w:p>
    <w:p w14:paraId="6D6C7406" w14:textId="20E4E97F" w:rsidR="000707CB" w:rsidRDefault="000707CB" w:rsidP="000707CB">
      <w:pPr>
        <w:pStyle w:val="SignatureBlock"/>
      </w:pPr>
    </w:p>
    <w:p w14:paraId="08DE6B8E" w14:textId="7AB68A58" w:rsidR="000707CB" w:rsidRDefault="000707CB" w:rsidP="000707CB">
      <w:pPr>
        <w:pStyle w:val="SignatureBlock"/>
        <w:rPr>
          <w:b/>
          <w:bCs/>
        </w:rPr>
      </w:pPr>
      <w:r>
        <w:rPr>
          <w:b/>
          <w:bCs/>
        </w:rPr>
        <w:t>PUBLIC UTILITY COMMISSION OF TEXAS</w:t>
      </w:r>
    </w:p>
    <w:p w14:paraId="47E655C4" w14:textId="11BBCA4A" w:rsidR="000707CB" w:rsidRDefault="000707CB" w:rsidP="000707CB">
      <w:pPr>
        <w:pStyle w:val="SignatureBlock"/>
      </w:pPr>
      <w:r>
        <w:rPr>
          <w:b/>
          <w:bCs/>
        </w:rPr>
        <w:t>LEGAL DIVISION</w:t>
      </w:r>
    </w:p>
    <w:p w14:paraId="6C4C240A" w14:textId="400F8573" w:rsidR="000707CB" w:rsidRDefault="000707CB" w:rsidP="000707CB">
      <w:pPr>
        <w:pStyle w:val="SignatureBlock"/>
      </w:pPr>
    </w:p>
    <w:p w14:paraId="2E7F6352" w14:textId="0A31E374" w:rsidR="000707CB" w:rsidRDefault="000707CB" w:rsidP="000707CB">
      <w:pPr>
        <w:pStyle w:val="SignatureBlock"/>
      </w:pPr>
      <w:r>
        <w:t>Rachelle Nicolette Robles</w:t>
      </w:r>
    </w:p>
    <w:p w14:paraId="36EF814E" w14:textId="00063755" w:rsidR="000707CB" w:rsidRDefault="000707CB" w:rsidP="000707CB">
      <w:pPr>
        <w:pStyle w:val="SignatureBlock"/>
      </w:pPr>
      <w:r>
        <w:t>Division Director</w:t>
      </w:r>
    </w:p>
    <w:p w14:paraId="0985625E" w14:textId="5D1B6340" w:rsidR="000707CB" w:rsidRDefault="000707CB" w:rsidP="000707CB">
      <w:pPr>
        <w:pStyle w:val="SignatureBlock"/>
      </w:pPr>
    </w:p>
    <w:p w14:paraId="1B8DC765" w14:textId="1EAA4B10" w:rsidR="000707CB" w:rsidRDefault="007E7EBC" w:rsidP="000707CB">
      <w:pPr>
        <w:pStyle w:val="SignatureBlock"/>
      </w:pPr>
      <w:r>
        <w:t>/s/Courtney Dean</w:t>
      </w:r>
    </w:p>
    <w:p w14:paraId="5F18EA4E" w14:textId="7FAA5B38" w:rsidR="000707CB" w:rsidRDefault="001A00A6" w:rsidP="000707CB">
      <w:pPr>
        <w:pStyle w:val="SignatureBlock"/>
      </w:pPr>
      <w:r>
        <w:rPr>
          <w:noProof/>
        </w:rPr>
        <mc:AlternateContent>
          <mc:Choice Requires="wps">
            <w:drawing>
              <wp:anchor distT="0" distB="0" distL="114300" distR="114300" simplePos="0" relativeHeight="251663360" behindDoc="0" locked="0" layoutInCell="1" allowOverlap="1" wp14:anchorId="73541C19" wp14:editId="000DE616">
                <wp:simplePos x="0" y="0"/>
                <wp:positionH relativeFrom="column">
                  <wp:posOffset>2689860</wp:posOffset>
                </wp:positionH>
                <wp:positionV relativeFrom="paragraph">
                  <wp:posOffset>12065</wp:posOffset>
                </wp:positionV>
                <wp:extent cx="294132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9413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w:pict>
              <v:line w14:anchorId="3CC19933"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11.8pt,.95pt" to="443.4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" strokecolor="black [3200]" strokeweight=".5pt">
                <v:stroke joinstyle="miter"/>
              </v:line>
            </w:pict>
          </mc:Fallback>
        </mc:AlternateContent>
      </w:r>
      <w:r w:rsidR="000707CB">
        <w:t>Rashmin J. Asher</w:t>
      </w:r>
    </w:p>
    <w:p w14:paraId="561CB7CD" w14:textId="3B591FBB" w:rsidR="000707CB" w:rsidRDefault="000707CB" w:rsidP="000707CB">
      <w:pPr>
        <w:pStyle w:val="SignatureBlock"/>
      </w:pPr>
      <w:r>
        <w:t>State Bar No. 24092058</w:t>
      </w:r>
    </w:p>
    <w:p w14:paraId="09C17100" w14:textId="3C006B74" w:rsidR="000707CB" w:rsidRDefault="000707CB" w:rsidP="000707CB">
      <w:pPr>
        <w:pStyle w:val="SignatureBlock"/>
      </w:pPr>
      <w:r>
        <w:t>Courtney N. Dean</w:t>
      </w:r>
    </w:p>
    <w:p w14:paraId="6161A879" w14:textId="56D2EE1D" w:rsidR="000707CB" w:rsidRDefault="000707CB" w:rsidP="000707CB">
      <w:pPr>
        <w:pStyle w:val="SignatureBlock"/>
      </w:pPr>
      <w:r>
        <w:t>State Bar No. 24116269</w:t>
      </w:r>
    </w:p>
    <w:p w14:paraId="3BB63AA6" w14:textId="6633F3FF" w:rsidR="000707CB" w:rsidRDefault="000707CB" w:rsidP="000707CB">
      <w:pPr>
        <w:pStyle w:val="SignatureBlock"/>
      </w:pPr>
      <w:r>
        <w:t xml:space="preserve">1701 N. Congress Avenue </w:t>
      </w:r>
    </w:p>
    <w:p w14:paraId="455D2D5A" w14:textId="7432968F" w:rsidR="000707CB" w:rsidRDefault="000707CB" w:rsidP="000707CB">
      <w:pPr>
        <w:pStyle w:val="SignatureBlock"/>
      </w:pPr>
      <w:r>
        <w:t>P.O. Box 13326</w:t>
      </w:r>
    </w:p>
    <w:p w14:paraId="51952BC3" w14:textId="3AC70227" w:rsidR="000707CB" w:rsidRDefault="000707CB" w:rsidP="000707CB">
      <w:pPr>
        <w:pStyle w:val="SignatureBlock"/>
      </w:pPr>
      <w:r>
        <w:t>Austin, Texas 78711-3326</w:t>
      </w:r>
    </w:p>
    <w:p w14:paraId="1CC8D688" w14:textId="0978C889" w:rsidR="000707CB" w:rsidRDefault="000707CB" w:rsidP="000707CB">
      <w:pPr>
        <w:pStyle w:val="SignatureBlock"/>
      </w:pPr>
      <w:r>
        <w:t>(512) 936-7216</w:t>
      </w:r>
    </w:p>
    <w:p w14:paraId="21133A01" w14:textId="4DE715FE" w:rsidR="000707CB" w:rsidRDefault="000707CB" w:rsidP="000707CB">
      <w:pPr>
        <w:pStyle w:val="SignatureBlock"/>
      </w:pPr>
      <w:r>
        <w:t>(512) 936-7628 (facsimile)</w:t>
      </w:r>
    </w:p>
    <w:p w14:paraId="5ACA6BB0" w14:textId="58E135DC" w:rsidR="000707CB" w:rsidRDefault="001A00A6" w:rsidP="000707CB">
      <w:pPr>
        <w:pStyle w:val="SignatureBlock"/>
      </w:pPr>
      <w:r>
        <w:t>rashmin.asher@puc.texas.gov</w:t>
      </w:r>
    </w:p>
    <w:p w14:paraId="5536D48A" w14:textId="77777777" w:rsidR="001A00A6" w:rsidRDefault="001A00A6" w:rsidP="000707CB">
      <w:pPr>
        <w:pStyle w:val="SignatureBlock"/>
      </w:pPr>
    </w:p>
    <w:p w14:paraId="3DB3F61F" w14:textId="225D90D3" w:rsidR="000707CB" w:rsidRDefault="000707CB" w:rsidP="000707CB">
      <w:pPr>
        <w:pStyle w:val="SignatureBlock"/>
      </w:pPr>
      <w:r>
        <w:rPr>
          <w:b/>
          <w:bCs/>
        </w:rPr>
        <w:t>OFFICE OF PUBLIC UTILITY COUNSEL</w:t>
      </w:r>
    </w:p>
    <w:p w14:paraId="3A792BC4" w14:textId="05AC0BBF" w:rsidR="000707CB" w:rsidRDefault="000707CB" w:rsidP="000707CB">
      <w:pPr>
        <w:pStyle w:val="SignatureBlock"/>
      </w:pPr>
    </w:p>
    <w:p w14:paraId="2DD4712A" w14:textId="09627150" w:rsidR="000707CB" w:rsidRDefault="000707CB" w:rsidP="000707CB">
      <w:pPr>
        <w:pStyle w:val="SignatureBlock"/>
      </w:pPr>
      <w:r>
        <w:t xml:space="preserve">Lori </w:t>
      </w:r>
      <w:proofErr w:type="spellStart"/>
      <w:r>
        <w:t>Cobos</w:t>
      </w:r>
      <w:proofErr w:type="spellEnd"/>
      <w:r>
        <w:t xml:space="preserve"> </w:t>
      </w:r>
    </w:p>
    <w:p w14:paraId="3810055B" w14:textId="33265E76" w:rsidR="000707CB" w:rsidRDefault="000707CB" w:rsidP="000707CB">
      <w:pPr>
        <w:pStyle w:val="SignatureBlock"/>
      </w:pPr>
      <w:r>
        <w:t>Chief Executive &amp; Public Counsel</w:t>
      </w:r>
    </w:p>
    <w:p w14:paraId="7838148B" w14:textId="183780CD" w:rsidR="000707CB" w:rsidRDefault="000707CB" w:rsidP="000707CB">
      <w:pPr>
        <w:pStyle w:val="SignatureBlock"/>
      </w:pPr>
      <w:r>
        <w:t>State Bar No. 24042276</w:t>
      </w:r>
    </w:p>
    <w:p w14:paraId="0AD1B181" w14:textId="29935CC2" w:rsidR="000707CB" w:rsidRDefault="000707CB" w:rsidP="000707CB">
      <w:pPr>
        <w:pStyle w:val="SignatureBlock"/>
      </w:pPr>
    </w:p>
    <w:p w14:paraId="71F1E25F" w14:textId="0D146622" w:rsidR="000707CB" w:rsidRDefault="00B86204" w:rsidP="000707CB">
      <w:pPr>
        <w:pStyle w:val="SignatureBlock"/>
      </w:pPr>
      <w:r>
        <w:t>/s/Jessie Lance</w:t>
      </w:r>
    </w:p>
    <w:p w14:paraId="251BBA70" w14:textId="294C90B8" w:rsidR="000707CB" w:rsidRDefault="001A00A6" w:rsidP="000707CB">
      <w:pPr>
        <w:pStyle w:val="SignatureBlock"/>
      </w:pPr>
      <w:r>
        <w:rPr>
          <w:noProof/>
        </w:rPr>
        <mc:AlternateContent>
          <mc:Choice Requires="wps">
            <w:drawing>
              <wp:anchor distT="0" distB="0" distL="114300" distR="114300" simplePos="0" relativeHeight="251661312" behindDoc="0" locked="0" layoutInCell="1" allowOverlap="1" wp14:anchorId="592317EA" wp14:editId="1546623D">
                <wp:simplePos x="0" y="0"/>
                <wp:positionH relativeFrom="column">
                  <wp:posOffset>2697480</wp:posOffset>
                </wp:positionH>
                <wp:positionV relativeFrom="paragraph">
                  <wp:posOffset>15240</wp:posOffset>
                </wp:positionV>
                <wp:extent cx="294132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9413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w:pict>
              <v:line w14:anchorId="36CABD00"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12.4pt,1.2pt" to="44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" strokecolor="black [3200]" strokeweight=".5pt">
                <v:stroke joinstyle="miter"/>
              </v:line>
            </w:pict>
          </mc:Fallback>
        </mc:AlternateContent>
      </w:r>
      <w:r w:rsidR="000707CB">
        <w:t>Jessie Lance</w:t>
      </w:r>
    </w:p>
    <w:p w14:paraId="6E43B104" w14:textId="0E039F69" w:rsidR="000707CB" w:rsidRDefault="000707CB" w:rsidP="000707CB">
      <w:pPr>
        <w:pStyle w:val="SignatureBlock"/>
      </w:pPr>
      <w:r>
        <w:t>Assistant Public Counsel</w:t>
      </w:r>
    </w:p>
    <w:p w14:paraId="3C07468D" w14:textId="527BC765" w:rsidR="000707CB" w:rsidRDefault="000707CB" w:rsidP="000707CB">
      <w:pPr>
        <w:pStyle w:val="SignatureBlock"/>
      </w:pPr>
      <w:r>
        <w:t>State Bar No. 24091434</w:t>
      </w:r>
    </w:p>
    <w:p w14:paraId="719D4342" w14:textId="1083EF7C" w:rsidR="000707CB" w:rsidRDefault="000707CB" w:rsidP="000707CB">
      <w:pPr>
        <w:pStyle w:val="SignatureBlock"/>
      </w:pPr>
      <w:r>
        <w:t>Tucker Furlow</w:t>
      </w:r>
    </w:p>
    <w:p w14:paraId="6949B057" w14:textId="6EF25B5F" w:rsidR="000707CB" w:rsidRDefault="000707CB" w:rsidP="000707CB">
      <w:pPr>
        <w:pStyle w:val="SignatureBlock"/>
      </w:pPr>
      <w:r>
        <w:t>Senior Assistant Public Counsel</w:t>
      </w:r>
    </w:p>
    <w:p w14:paraId="266D98CF" w14:textId="637DC322" w:rsidR="000707CB" w:rsidRDefault="000707CB" w:rsidP="000707CB">
      <w:pPr>
        <w:pStyle w:val="SignatureBlock"/>
      </w:pPr>
      <w:r>
        <w:t>State Bar No. 24060897</w:t>
      </w:r>
    </w:p>
    <w:p w14:paraId="4FB596C4" w14:textId="51FFEF57" w:rsidR="000707CB" w:rsidRDefault="000707CB" w:rsidP="000707CB">
      <w:pPr>
        <w:pStyle w:val="SignatureBlock"/>
      </w:pPr>
      <w:r>
        <w:t>Chris Ekoh</w:t>
      </w:r>
    </w:p>
    <w:p w14:paraId="3CB77CB3" w14:textId="0E1EDC42" w:rsidR="000707CB" w:rsidRDefault="000707CB" w:rsidP="000707CB">
      <w:pPr>
        <w:pStyle w:val="SignatureBlock"/>
      </w:pPr>
      <w:r>
        <w:t>Senior Managing Public Counsel</w:t>
      </w:r>
    </w:p>
    <w:p w14:paraId="50F48B52" w14:textId="4F511CA5" w:rsidR="000707CB" w:rsidRDefault="000707CB" w:rsidP="000707CB">
      <w:pPr>
        <w:pStyle w:val="SignatureBlock"/>
      </w:pPr>
      <w:r>
        <w:t>State Bar No. 06507015</w:t>
      </w:r>
    </w:p>
    <w:p w14:paraId="7F03D612" w14:textId="1DA4C643" w:rsidR="000707CB" w:rsidRDefault="000707CB" w:rsidP="000707CB">
      <w:pPr>
        <w:pStyle w:val="SignatureBlock"/>
      </w:pPr>
      <w:r>
        <w:t>1701 N. Congress Ave., Suite 9-180</w:t>
      </w:r>
    </w:p>
    <w:p w14:paraId="5556B242" w14:textId="6DF747EC" w:rsidR="000707CB" w:rsidRDefault="000707CB" w:rsidP="000707CB">
      <w:pPr>
        <w:pStyle w:val="SignatureBlock"/>
      </w:pPr>
      <w:r>
        <w:t>P.O. Box 12397</w:t>
      </w:r>
    </w:p>
    <w:p w14:paraId="3EA319CA" w14:textId="0A1D4249" w:rsidR="000707CB" w:rsidRDefault="000707CB" w:rsidP="000707CB">
      <w:pPr>
        <w:pStyle w:val="SignatureBlock"/>
      </w:pPr>
      <w:r>
        <w:t>Austin, Texas 78711-2397</w:t>
      </w:r>
    </w:p>
    <w:p w14:paraId="1F849B14" w14:textId="5FFFB363" w:rsidR="001A00A6" w:rsidRDefault="001A00A6" w:rsidP="000707CB">
      <w:pPr>
        <w:pStyle w:val="SignatureBlock"/>
      </w:pPr>
      <w:r>
        <w:t>512-936-7500 (Telephone)</w:t>
      </w:r>
    </w:p>
    <w:p w14:paraId="571ED5D8" w14:textId="167486DB" w:rsidR="001A00A6" w:rsidRDefault="001A00A6" w:rsidP="000707CB">
      <w:pPr>
        <w:pStyle w:val="SignatureBlock"/>
      </w:pPr>
      <w:r>
        <w:t>512-936-7525 (Facsimile)</w:t>
      </w:r>
    </w:p>
    <w:p w14:paraId="0F416454" w14:textId="10A159B4" w:rsidR="001A00A6" w:rsidRDefault="001A00A6" w:rsidP="000707CB">
      <w:pPr>
        <w:pStyle w:val="SignatureBlock"/>
      </w:pPr>
      <w:r>
        <w:t>jessie.lance@opuc.texas.gov</w:t>
      </w:r>
    </w:p>
    <w:p w14:paraId="0B8E7334" w14:textId="4945313F" w:rsidR="001A00A6" w:rsidRDefault="001A00A6" w:rsidP="000707CB">
      <w:pPr>
        <w:pStyle w:val="SignatureBlock"/>
      </w:pPr>
      <w:r>
        <w:t>tucker.furlow@opuc.texas.gov</w:t>
      </w:r>
    </w:p>
    <w:p w14:paraId="5E46A8F2" w14:textId="114DCD40" w:rsidR="001A00A6" w:rsidRDefault="001A00A6" w:rsidP="000707CB">
      <w:pPr>
        <w:pStyle w:val="SignatureBlock"/>
      </w:pPr>
      <w:r>
        <w:t>chris.ekoh@opuc.texas.gov</w:t>
      </w:r>
    </w:p>
    <w:p w14:paraId="24A5E0A5" w14:textId="5C79FA6A" w:rsidR="001A00A6" w:rsidRDefault="001A00A6" w:rsidP="000707CB">
      <w:pPr>
        <w:pStyle w:val="SignatureBlock"/>
      </w:pPr>
      <w:r>
        <w:t>opuc_eservice@opuc.texas.gov (Service)</w:t>
      </w:r>
    </w:p>
    <w:p w14:paraId="54D23DFB" w14:textId="78040AFB" w:rsidR="001A00A6" w:rsidRDefault="001A00A6" w:rsidP="001A00A6">
      <w:pPr>
        <w:pStyle w:val="CertificateofService"/>
        <w:rPr>
          <w:b w:val="0"/>
          <w:bCs/>
          <w:caps w:val="0"/>
          <w:u w:val="none"/>
        </w:rPr>
      </w:pPr>
      <w:r>
        <w:lastRenderedPageBreak/>
        <w:t>certificate of service</w:t>
      </w:r>
      <w:r>
        <w:br/>
      </w:r>
      <w:r w:rsidR="00B86204">
        <w:rPr>
          <w:b w:val="0"/>
          <w:bCs/>
          <w:caps w:val="0"/>
          <w:u w:val="none"/>
        </w:rPr>
        <w:t>SOAH DOCKET NO. 473-20-4709.WS</w:t>
      </w:r>
      <w:r w:rsidR="00B86204">
        <w:rPr>
          <w:b w:val="0"/>
          <w:bCs/>
          <w:caps w:val="0"/>
          <w:u w:val="none"/>
        </w:rPr>
        <w:br/>
        <w:t>PUC DOCKET NO. 50944</w:t>
      </w:r>
    </w:p>
    <w:p w14:paraId="31A1AF1C" w14:textId="4959A480" w:rsidR="001A00A6" w:rsidRDefault="001A00A6" w:rsidP="001B4BC1">
      <w:pPr>
        <w:pStyle w:val="CertificateofServiceParagraph"/>
        <w:spacing w:line="480" w:lineRule="auto"/>
      </w:pPr>
      <w:r>
        <w:t xml:space="preserve">I </w:t>
      </w:r>
      <w:r w:rsidR="001B4BC1">
        <w:t xml:space="preserve">certify that, unless otherwise ordered by the presiding officer notice of the filing of this document was provided to all parties of record via electronic mail on May </w:t>
      </w:r>
      <w:r w:rsidR="00420929">
        <w:t>24</w:t>
      </w:r>
      <w:r w:rsidR="001B4BC1">
        <w:t>, 2021, in accordance with the Order Suspending Rules, issued in Project No. 50664.</w:t>
      </w:r>
    </w:p>
    <w:p w14:paraId="0F476257" w14:textId="743FED04" w:rsidR="00B86204" w:rsidRPr="00B86204" w:rsidRDefault="00B86204" w:rsidP="00B86204">
      <w:pPr>
        <w:pStyle w:val="Signature"/>
      </w:pPr>
      <w:r>
        <w:rPr>
          <w:noProof/>
        </w:rPr>
        <mc:AlternateContent>
          <mc:Choice Requires="wps">
            <w:drawing>
              <wp:anchor distT="0" distB="0" distL="114300" distR="114300" simplePos="0" relativeHeight="251659264" behindDoc="0" locked="0" layoutInCell="1" allowOverlap="1" wp14:anchorId="1BC1F44E" wp14:editId="66AF3216">
                <wp:simplePos x="0" y="0"/>
                <wp:positionH relativeFrom="column">
                  <wp:posOffset>2697480</wp:posOffset>
                </wp:positionH>
                <wp:positionV relativeFrom="paragraph">
                  <wp:posOffset>164465</wp:posOffset>
                </wp:positionV>
                <wp:extent cx="294132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9413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w:pict>
              <v:line w14:anchorId="2C61117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2.4pt,12.95pt" to="444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" strokecolor="black [3200]" strokeweight=".5pt">
                <v:stroke joinstyle="miter"/>
              </v:line>
            </w:pict>
          </mc:Fallback>
        </mc:AlternateContent>
      </w:r>
      <w:r>
        <w:t>/s/Courtney Dean</w:t>
      </w:r>
    </w:p>
    <w:p w14:paraId="4E48AA5E" w14:textId="6FD67FC0" w:rsidR="001A00A6" w:rsidRPr="001A00A6" w:rsidRDefault="00B86204" w:rsidP="001A00A6">
      <w:pPr>
        <w:pStyle w:val="Signature"/>
      </w:pPr>
      <w:r>
        <w:t>Courtney N. Dean</w:t>
      </w:r>
    </w:p>
    <w:sectPr w:rsidR="001A00A6" w:rsidRPr="001A00A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D4CB58" w14:textId="77777777" w:rsidR="004F776E" w:rsidRDefault="004F776E" w:rsidP="00B002EE">
      <w:r>
        <w:separator/>
      </w:r>
    </w:p>
  </w:endnote>
  <w:endnote w:type="continuationSeparator" w:id="0">
    <w:p w14:paraId="41B56A41" w14:textId="77777777" w:rsidR="004F776E" w:rsidRDefault="004F776E" w:rsidP="00B00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7184202"/>
      <w:docPartObj>
        <w:docPartGallery w:val="Page Numbers (Bottom of Page)"/>
        <w:docPartUnique/>
      </w:docPartObj>
    </w:sdtPr>
    <w:sdtEndPr/>
    <w:sdtContent>
      <w:sdt>
        <w:sdtPr>
          <w:id w:val="1728636285"/>
          <w:docPartObj>
            <w:docPartGallery w:val="Page Numbers (Top of Page)"/>
            <w:docPartUnique/>
          </w:docPartObj>
        </w:sdtPr>
        <w:sdtEndPr/>
        <w:sdtContent>
          <w:p w14:paraId="704BBC86" w14:textId="33FE22DC" w:rsidR="008D665C" w:rsidRDefault="008D665C">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p w14:paraId="7573BB78" w14:textId="77777777" w:rsidR="008D665C" w:rsidRDefault="008D66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25CCCB" w14:textId="77777777" w:rsidR="004F776E" w:rsidRDefault="004F776E" w:rsidP="00B002EE">
      <w:r>
        <w:separator/>
      </w:r>
    </w:p>
  </w:footnote>
  <w:footnote w:type="continuationSeparator" w:id="0">
    <w:p w14:paraId="18633735" w14:textId="77777777" w:rsidR="004F776E" w:rsidRDefault="004F776E" w:rsidP="00B002EE">
      <w:r>
        <w:continuationSeparator/>
      </w:r>
    </w:p>
  </w:footnote>
  <w:footnote w:id="1">
    <w:p w14:paraId="7EA7914F" w14:textId="57F87620" w:rsidR="00045EFE" w:rsidRDefault="00045EFE">
      <w:pPr>
        <w:pStyle w:val="FootnoteText"/>
      </w:pPr>
      <w:r>
        <w:rPr>
          <w:rStyle w:val="FootnoteReference"/>
        </w:rPr>
        <w:footnoteRef/>
      </w:r>
      <w:r>
        <w:t xml:space="preserve">  Monarch Utilities I, L.P.’s Objection to the Joint Motion to Set Interim Rates (May 20, 2021) at 3.</w:t>
      </w:r>
    </w:p>
  </w:footnote>
  <w:footnote w:id="2">
    <w:p w14:paraId="6DFDF371" w14:textId="7E3129A1" w:rsidR="00045EFE" w:rsidRDefault="00045EFE">
      <w:pPr>
        <w:pStyle w:val="FootnoteText"/>
      </w:pPr>
      <w:r>
        <w:rPr>
          <w:rStyle w:val="FootnoteReference"/>
        </w:rPr>
        <w:footnoteRef/>
      </w:r>
      <w:r>
        <w:t xml:space="preserve">  </w:t>
      </w:r>
      <w:r w:rsidRPr="00F11E46">
        <w:rPr>
          <w:i/>
          <w:iCs/>
        </w:rPr>
        <w:t>Id</w:t>
      </w:r>
      <w:r>
        <w:t>. at 4.</w:t>
      </w:r>
    </w:p>
  </w:footnote>
  <w:footnote w:id="3">
    <w:p w14:paraId="3C47DD9B" w14:textId="0681DFEE" w:rsidR="00045EFE" w:rsidRDefault="00045EFE">
      <w:pPr>
        <w:pStyle w:val="FootnoteText"/>
      </w:pPr>
      <w:r>
        <w:rPr>
          <w:rStyle w:val="FootnoteReference"/>
        </w:rPr>
        <w:footnoteRef/>
      </w:r>
      <w:r>
        <w:t xml:space="preserve">  TWC </w:t>
      </w:r>
      <w:r w:rsidRPr="0051637F">
        <w:t>§</w:t>
      </w:r>
      <w:r>
        <w:t xml:space="preserve"> 13.187(</w:t>
      </w:r>
      <w:r w:rsidRPr="008D5B92">
        <w:rPr>
          <w:i/>
          <w:iCs/>
        </w:rPr>
        <w:t>l</w:t>
      </w:r>
      <w:r>
        <w:t>) (emphasis added).</w:t>
      </w:r>
    </w:p>
  </w:footnote>
  <w:footnote w:id="4">
    <w:p w14:paraId="5088E0A8" w14:textId="09F6820A" w:rsidR="00045EFE" w:rsidRDefault="00045EFE">
      <w:pPr>
        <w:pStyle w:val="FootnoteText"/>
      </w:pPr>
      <w:r>
        <w:rPr>
          <w:rStyle w:val="FootnoteReference"/>
        </w:rPr>
        <w:footnoteRef/>
      </w:r>
      <w:r>
        <w:t xml:space="preserve">  </w:t>
      </w:r>
      <w:r w:rsidRPr="00723E1E">
        <w:rPr>
          <w:i/>
          <w:iCs/>
        </w:rPr>
        <w:t>Application of Monarch Utilities I, L.P. for Authority to Change Rates for Water and Sewer Service</w:t>
      </w:r>
      <w:r w:rsidRPr="00723E1E">
        <w:t>, Docket No. 45570,</w:t>
      </w:r>
      <w:r>
        <w:t xml:space="preserve"> Order No. 9 Establishing Interim Rates (Sep. 21, 2016) at 1 (referencing Monarch’s Motion to Grant Interim Rates, filed Sep. 19, 2016, requesting that interim rates be established until the Commission sets a final rate).</w:t>
      </w:r>
    </w:p>
  </w:footnote>
  <w:footnote w:id="5">
    <w:p w14:paraId="3BCFA6E4" w14:textId="55F628E3" w:rsidR="00045EFE" w:rsidRDefault="00045EFE">
      <w:pPr>
        <w:pStyle w:val="FootnoteText"/>
      </w:pPr>
      <w:r>
        <w:rPr>
          <w:rStyle w:val="FootnoteReference"/>
        </w:rPr>
        <w:footnoteRef/>
      </w:r>
      <w:r>
        <w:t xml:space="preserve">  </w:t>
      </w:r>
      <w:r w:rsidRPr="00701837">
        <w:rPr>
          <w:i/>
          <w:iCs/>
        </w:rPr>
        <w:t>Application of SWWC Utilities, Inc. dba Water Services, Inc. for Authority to Change Rates</w:t>
      </w:r>
      <w:r>
        <w:t>, Docket No. 47736, Order No. 8 Approving Interim Rates for Phase II (Aug. 7, 2019) at 1.</w:t>
      </w:r>
    </w:p>
  </w:footnote>
  <w:footnote w:id="6">
    <w:p w14:paraId="7E5ED31D" w14:textId="12ADCC5A" w:rsidR="00045EFE" w:rsidRDefault="00045EFE">
      <w:pPr>
        <w:pStyle w:val="FootnoteText"/>
      </w:pPr>
      <w:r>
        <w:rPr>
          <w:rStyle w:val="FootnoteReference"/>
        </w:rPr>
        <w:footnoteRef/>
      </w:r>
      <w:r>
        <w:t xml:space="preserve">  </w:t>
      </w:r>
      <w:r w:rsidRPr="00723E1E">
        <w:rPr>
          <w:i/>
          <w:iCs/>
        </w:rPr>
        <w:t>Application of Kendall West Utility, LLC for Authority to Change</w:t>
      </w:r>
      <w:r>
        <w:t xml:space="preserve"> </w:t>
      </w:r>
      <w:r w:rsidRPr="00723E1E">
        <w:rPr>
          <w:i/>
          <w:iCs/>
        </w:rPr>
        <w:t>Rates</w:t>
      </w:r>
      <w:r>
        <w:t>, Docket No. 49887, SOAH Order No. 7 Adopting Interim Rates (June 15, 2020) at 1.</w:t>
      </w:r>
    </w:p>
  </w:footnote>
  <w:footnote w:id="7">
    <w:p w14:paraId="29A75740" w14:textId="4D32A857" w:rsidR="00045EFE" w:rsidRDefault="00045EFE">
      <w:pPr>
        <w:pStyle w:val="FootnoteText"/>
      </w:pPr>
      <w:r>
        <w:rPr>
          <w:rStyle w:val="FootnoteReference"/>
        </w:rPr>
        <w:footnoteRef/>
      </w:r>
      <w:r>
        <w:t xml:space="preserve">  </w:t>
      </w:r>
      <w:r w:rsidRPr="00723E1E">
        <w:rPr>
          <w:i/>
          <w:iCs/>
        </w:rPr>
        <w:t>Application of Undine Texas, LLC and Undine Texas Environmental, LLC for Authority to Change Rates</w:t>
      </w:r>
      <w:r>
        <w:t>, Docket No. 50200, SOAH Order No. 10 Admitting Evidence; Setting Interim Rates; and Remanding Case to the Commission and Dismissing it from SOAH’s Docket (Aug. 21, 2020) at 3.</w:t>
      </w:r>
    </w:p>
  </w:footnote>
  <w:footnote w:id="8">
    <w:p w14:paraId="4EE92A90" w14:textId="44868988" w:rsidR="00045EFE" w:rsidRDefault="00045EFE">
      <w:pPr>
        <w:pStyle w:val="FootnoteText"/>
      </w:pPr>
      <w:r>
        <w:rPr>
          <w:rStyle w:val="FootnoteReference"/>
        </w:rPr>
        <w:footnoteRef/>
      </w:r>
      <w:r>
        <w:t xml:space="preserve">  </w:t>
      </w:r>
      <w:r w:rsidRPr="00723E1E">
        <w:rPr>
          <w:i/>
          <w:iCs/>
        </w:rPr>
        <w:t>Application of Monarch Utilities I, L.P. for Authority to Change Rates for Water and Sewer Service</w:t>
      </w:r>
      <w:r w:rsidRPr="00723E1E">
        <w:t>, Docket No. 45570</w:t>
      </w:r>
      <w:r>
        <w:t>, Monarch Utilities I, L.P.’s Motion to Grant Interim Rates (Sep. 19, 2016) at 2.</w:t>
      </w:r>
    </w:p>
  </w:footnote>
  <w:footnote w:id="9">
    <w:p w14:paraId="77E62C5C" w14:textId="65595F6E" w:rsidR="00045EFE" w:rsidRDefault="00045EFE">
      <w:pPr>
        <w:pStyle w:val="FootnoteText"/>
      </w:pPr>
      <w:r>
        <w:rPr>
          <w:rStyle w:val="FootnoteReference"/>
        </w:rPr>
        <w:footnoteRef/>
      </w:r>
      <w:r>
        <w:t xml:space="preserve">  </w:t>
      </w:r>
      <w:r w:rsidRPr="00701837">
        <w:rPr>
          <w:i/>
          <w:iCs/>
        </w:rPr>
        <w:t>Application of SWWC Utilities, Inc. dba Water Services, Inc. for Authority to Change Rates</w:t>
      </w:r>
      <w:r>
        <w:t>, Docket No. 47736, Joint Motion to Set Interim Rates and Extend Effective Date (Jan. 2, 2019) at 2.</w:t>
      </w:r>
    </w:p>
  </w:footnote>
  <w:footnote w:id="10">
    <w:p w14:paraId="150EA9F9" w14:textId="49365A26" w:rsidR="00045EFE" w:rsidRDefault="00045EFE">
      <w:pPr>
        <w:pStyle w:val="FootnoteText"/>
      </w:pPr>
      <w:r>
        <w:rPr>
          <w:rStyle w:val="FootnoteReference"/>
        </w:rPr>
        <w:footnoteRef/>
      </w:r>
      <w:r>
        <w:t xml:space="preserve">  Brief on Interim Rates Issues of Monarch Utilities I, L.P. (Oct. 9, 2020) at 2.</w:t>
      </w:r>
    </w:p>
  </w:footnote>
  <w:footnote w:id="11">
    <w:p w14:paraId="30D7F4BF" w14:textId="41D55B89" w:rsidR="00045EFE" w:rsidRDefault="00045EFE">
      <w:pPr>
        <w:pStyle w:val="FootnoteText"/>
      </w:pPr>
      <w:r>
        <w:rPr>
          <w:rStyle w:val="FootnoteReference"/>
        </w:rPr>
        <w:footnoteRef/>
      </w:r>
      <w:r>
        <w:t xml:space="preserve">  </w:t>
      </w:r>
      <w:r w:rsidRPr="004F5190">
        <w:rPr>
          <w:i/>
          <w:iCs/>
        </w:rPr>
        <w:t>Id</w:t>
      </w:r>
      <w:r>
        <w:t xml:space="preserve">. at 6 (quoting 16 TAC </w:t>
      </w:r>
      <w:r w:rsidRPr="0051637F">
        <w:t>§</w:t>
      </w:r>
      <w:r>
        <w:t xml:space="preserve"> 24.37(j), a notice provision which acknowledges that interim rates may be set until the requested rate change until a final determination is made).  </w:t>
      </w:r>
    </w:p>
  </w:footnote>
  <w:footnote w:id="12">
    <w:p w14:paraId="121183AE" w14:textId="5B11F773" w:rsidR="00045EFE" w:rsidRDefault="00045EFE">
      <w:pPr>
        <w:pStyle w:val="FootnoteText"/>
      </w:pPr>
      <w:r>
        <w:rPr>
          <w:rStyle w:val="FootnoteReference"/>
        </w:rPr>
        <w:footnoteRef/>
      </w:r>
      <w:r>
        <w:t xml:space="preserve">  </w:t>
      </w:r>
      <w:r w:rsidRPr="004F5190">
        <w:rPr>
          <w:i/>
          <w:iCs/>
        </w:rPr>
        <w:t>Id</w:t>
      </w:r>
      <w:r>
        <w:t>. at 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550B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16E05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5DA07E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DDA72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EF4F12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C4AECE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B08903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55ABC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AEADB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7019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150469"/>
    <w:multiLevelType w:val="hybridMultilevel"/>
    <w:tmpl w:val="9446C30A"/>
    <w:lvl w:ilvl="0" w:tplc="054C979E">
      <w:start w:val="1"/>
      <w:numFmt w:val="lowerLetter"/>
      <w:pStyle w:val="TestimonySectiona"/>
      <w:lvlText w:val="%1."/>
      <w:lvlJc w:val="left"/>
      <w:pPr>
        <w:ind w:left="720" w:hanging="360"/>
      </w:pPr>
      <w:rPr>
        <w:rFonts w:ascii="Times New Roman Bold" w:hAnsi="Times New Roman Bold"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B30B3"/>
    <w:multiLevelType w:val="hybridMultilevel"/>
    <w:tmpl w:val="30E887D8"/>
    <w:lvl w:ilvl="0" w:tplc="5CD254BE">
      <w:start w:val="1"/>
      <w:numFmt w:val="decimal"/>
      <w:pStyle w:val="RFIListParagraphforDefinitions"/>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70603B"/>
    <w:multiLevelType w:val="hybridMultilevel"/>
    <w:tmpl w:val="E6C485B8"/>
    <w:lvl w:ilvl="0" w:tplc="96BAC3D4">
      <w:start w:val="1"/>
      <w:numFmt w:val="decimal"/>
      <w:pStyle w:val="RFIListParagraphforInstruction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F59D0"/>
    <w:multiLevelType w:val="multilevel"/>
    <w:tmpl w:val="D61EF574"/>
    <w:lvl w:ilvl="0">
      <w:start w:val="1"/>
      <w:numFmt w:val="upperRoman"/>
      <w:pStyle w:val="Heading1"/>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4" w15:restartNumberingAfterBreak="0">
    <w:nsid w:val="42D24319"/>
    <w:multiLevelType w:val="hybridMultilevel"/>
    <w:tmpl w:val="5812030A"/>
    <w:lvl w:ilvl="0" w:tplc="F586DBBE">
      <w:start w:val="1"/>
      <w:numFmt w:val="decimal"/>
      <w:pStyle w:val="MemoSection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C42121"/>
    <w:multiLevelType w:val="hybridMultilevel"/>
    <w:tmpl w:val="4BC2CD80"/>
    <w:lvl w:ilvl="0" w:tplc="C9101994">
      <w:start w:val="1"/>
      <w:numFmt w:val="upperLetter"/>
      <w:pStyle w:val="Heading2"/>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648B7227"/>
    <w:multiLevelType w:val="multilevel"/>
    <w:tmpl w:val="8D52F11A"/>
    <w:lvl w:ilvl="0">
      <w:start w:val="1"/>
      <w:numFmt w:val="none"/>
      <w:pStyle w:val="TestimonyQ"/>
      <w:lvlText w:val="Q."/>
      <w:lvlJc w:val="left"/>
      <w:pPr>
        <w:ind w:left="720" w:hanging="720"/>
      </w:pPr>
      <w:rPr>
        <w:rFonts w:ascii="Times New Roman Bold" w:hAnsi="Times New Roman Bold" w:hint="default"/>
        <w:b/>
        <w:i w:val="0"/>
        <w:caps/>
      </w:rPr>
    </w:lvl>
    <w:lvl w:ilvl="1">
      <w:start w:val="1"/>
      <w:numFmt w:val="none"/>
      <w:pStyle w:val="TestimonyA"/>
      <w:lvlText w:val="A."/>
      <w:lvlJc w:val="left"/>
      <w:pPr>
        <w:ind w:left="720" w:hanging="720"/>
      </w:pPr>
      <w:rPr>
        <w:rFonts w:ascii="Times New Roman" w:hAnsi="Times New Roman" w:hint="default"/>
        <w:b w:val="0"/>
        <w:i w:val="0"/>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7143480"/>
    <w:multiLevelType w:val="hybridMultilevel"/>
    <w:tmpl w:val="737A7602"/>
    <w:lvl w:ilvl="0" w:tplc="0C3C9858">
      <w:start w:val="1"/>
      <w:numFmt w:val="upperRoman"/>
      <w:pStyle w:val="MemoSectionI"/>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084F75"/>
    <w:multiLevelType w:val="hybridMultilevel"/>
    <w:tmpl w:val="7CF66CB4"/>
    <w:lvl w:ilvl="0" w:tplc="FC1687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F0F6AD7"/>
    <w:multiLevelType w:val="hybridMultilevel"/>
    <w:tmpl w:val="FBB85F2A"/>
    <w:lvl w:ilvl="0" w:tplc="74486EC4">
      <w:start w:val="1"/>
      <w:numFmt w:val="upperRoman"/>
      <w:pStyle w:val="TestimonySectionI"/>
      <w:lvlText w:val="%1."/>
      <w:lvlJc w:val="left"/>
      <w:pPr>
        <w:ind w:left="1080" w:hanging="720"/>
      </w:pPr>
      <w:rPr>
        <w:rFonts w:hint="default"/>
      </w:rPr>
    </w:lvl>
    <w:lvl w:ilvl="1" w:tplc="04090019">
      <w:start w:val="1"/>
      <w:numFmt w:val="lowerLetter"/>
      <w:lvlText w:val="%2."/>
      <w:lvlJc w:val="left"/>
      <w:pPr>
        <w:ind w:left="1800" w:hanging="720"/>
      </w:pPr>
      <w:rPr>
        <w:rFonts w:ascii="Times New Roman Bold" w:hAnsi="Times New Roman Bold" w:hint="default"/>
        <w:b/>
        <w:i w:val="0"/>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816545"/>
    <w:multiLevelType w:val="hybridMultilevel"/>
    <w:tmpl w:val="94DC5CD6"/>
    <w:lvl w:ilvl="0" w:tplc="0F5235CA">
      <w:start w:val="1"/>
      <w:numFmt w:val="decimal"/>
      <w:pStyle w:val="ProposedFOFandCOLnumberedparagraphs"/>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873D5A"/>
    <w:multiLevelType w:val="hybridMultilevel"/>
    <w:tmpl w:val="E1F4E260"/>
    <w:lvl w:ilvl="0" w:tplc="98C8D10A">
      <w:start w:val="1"/>
      <w:numFmt w:val="upperRoman"/>
      <w:pStyle w:val="CenteredHeadingsforListsinPleading"/>
      <w:lvlText w:val="%1."/>
      <w:lvlJc w:val="righ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1"/>
  </w:num>
  <w:num w:numId="2">
    <w:abstractNumId w:val="19"/>
  </w:num>
  <w:num w:numId="3">
    <w:abstractNumId w:val="16"/>
  </w:num>
  <w:num w:numId="4">
    <w:abstractNumId w:val="11"/>
  </w:num>
  <w:num w:numId="5">
    <w:abstractNumId w:val="12"/>
  </w:num>
  <w:num w:numId="6">
    <w:abstractNumId w:val="13"/>
  </w:num>
  <w:num w:numId="7">
    <w:abstractNumId w:val="14"/>
  </w:num>
  <w:num w:numId="8">
    <w:abstractNumId w:val="10"/>
  </w:num>
  <w:num w:numId="9">
    <w:abstractNumId w:val="18"/>
  </w:num>
  <w:num w:numId="10">
    <w:abstractNumId w:val="17"/>
  </w:num>
  <w:num w:numId="11">
    <w:abstractNumId w:val="20"/>
  </w:num>
  <w:num w:numId="12">
    <w:abstractNumId w:val="20"/>
  </w:num>
  <w:num w:numId="13">
    <w:abstractNumId w:val="17"/>
  </w:num>
  <w:num w:numId="14">
    <w:abstractNumId w:val="14"/>
  </w:num>
  <w:num w:numId="15">
    <w:abstractNumId w:val="18"/>
  </w:num>
  <w:num w:numId="16">
    <w:abstractNumId w:val="15"/>
  </w:num>
  <w:num w:numId="17">
    <w:abstractNumId w:val="13"/>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E43"/>
    <w:rsid w:val="00015444"/>
    <w:rsid w:val="00045EFE"/>
    <w:rsid w:val="00052E12"/>
    <w:rsid w:val="00066C74"/>
    <w:rsid w:val="000707CB"/>
    <w:rsid w:val="00070958"/>
    <w:rsid w:val="000728AA"/>
    <w:rsid w:val="00094F7E"/>
    <w:rsid w:val="000D513B"/>
    <w:rsid w:val="00101D94"/>
    <w:rsid w:val="00112B8B"/>
    <w:rsid w:val="001153F0"/>
    <w:rsid w:val="00127CA4"/>
    <w:rsid w:val="001339BB"/>
    <w:rsid w:val="00134D27"/>
    <w:rsid w:val="00152086"/>
    <w:rsid w:val="0015521C"/>
    <w:rsid w:val="00162E16"/>
    <w:rsid w:val="001A00A6"/>
    <w:rsid w:val="001B4BC1"/>
    <w:rsid w:val="001B4DCE"/>
    <w:rsid w:val="001C4A29"/>
    <w:rsid w:val="001E1D81"/>
    <w:rsid w:val="002243A6"/>
    <w:rsid w:val="00233226"/>
    <w:rsid w:val="00294C9B"/>
    <w:rsid w:val="002A2A1C"/>
    <w:rsid w:val="002E1E08"/>
    <w:rsid w:val="002F7674"/>
    <w:rsid w:val="00302DF7"/>
    <w:rsid w:val="00327C7C"/>
    <w:rsid w:val="003360BB"/>
    <w:rsid w:val="003478B2"/>
    <w:rsid w:val="0035492A"/>
    <w:rsid w:val="00395C31"/>
    <w:rsid w:val="003A18D7"/>
    <w:rsid w:val="003B2BF0"/>
    <w:rsid w:val="00403024"/>
    <w:rsid w:val="00420929"/>
    <w:rsid w:val="0045231E"/>
    <w:rsid w:val="00472ED8"/>
    <w:rsid w:val="004910D9"/>
    <w:rsid w:val="004B663D"/>
    <w:rsid w:val="004C6792"/>
    <w:rsid w:val="004F5190"/>
    <w:rsid w:val="004F776E"/>
    <w:rsid w:val="00521624"/>
    <w:rsid w:val="00525CCB"/>
    <w:rsid w:val="0053210D"/>
    <w:rsid w:val="00564B90"/>
    <w:rsid w:val="00573B25"/>
    <w:rsid w:val="0058409D"/>
    <w:rsid w:val="005B1CF8"/>
    <w:rsid w:val="005D26CE"/>
    <w:rsid w:val="006022BA"/>
    <w:rsid w:val="0066204E"/>
    <w:rsid w:val="006A773F"/>
    <w:rsid w:val="006C0A10"/>
    <w:rsid w:val="006C7E36"/>
    <w:rsid w:val="006D6C48"/>
    <w:rsid w:val="00701837"/>
    <w:rsid w:val="00705C51"/>
    <w:rsid w:val="007127A1"/>
    <w:rsid w:val="00713BB2"/>
    <w:rsid w:val="00720CBE"/>
    <w:rsid w:val="00723E1E"/>
    <w:rsid w:val="007E7EBC"/>
    <w:rsid w:val="007F6246"/>
    <w:rsid w:val="00810713"/>
    <w:rsid w:val="00847F02"/>
    <w:rsid w:val="0085090B"/>
    <w:rsid w:val="00890FC6"/>
    <w:rsid w:val="008A2E18"/>
    <w:rsid w:val="008B127E"/>
    <w:rsid w:val="008B6816"/>
    <w:rsid w:val="008D308E"/>
    <w:rsid w:val="008D5B92"/>
    <w:rsid w:val="008D665C"/>
    <w:rsid w:val="00900EBC"/>
    <w:rsid w:val="009132FE"/>
    <w:rsid w:val="00923367"/>
    <w:rsid w:val="009323EA"/>
    <w:rsid w:val="009842C2"/>
    <w:rsid w:val="009923B7"/>
    <w:rsid w:val="0099386B"/>
    <w:rsid w:val="00996698"/>
    <w:rsid w:val="00997B66"/>
    <w:rsid w:val="00A172F7"/>
    <w:rsid w:val="00A60AC6"/>
    <w:rsid w:val="00A82621"/>
    <w:rsid w:val="00A85FB5"/>
    <w:rsid w:val="00AC00C6"/>
    <w:rsid w:val="00AD2641"/>
    <w:rsid w:val="00B002EE"/>
    <w:rsid w:val="00B55773"/>
    <w:rsid w:val="00B63E53"/>
    <w:rsid w:val="00B67DE1"/>
    <w:rsid w:val="00B84895"/>
    <w:rsid w:val="00B86204"/>
    <w:rsid w:val="00BD38B6"/>
    <w:rsid w:val="00BE3FEF"/>
    <w:rsid w:val="00BF3C8E"/>
    <w:rsid w:val="00BF6368"/>
    <w:rsid w:val="00C02519"/>
    <w:rsid w:val="00C2276D"/>
    <w:rsid w:val="00C44540"/>
    <w:rsid w:val="00C61CA0"/>
    <w:rsid w:val="00C70DA8"/>
    <w:rsid w:val="00CA1439"/>
    <w:rsid w:val="00CB4A00"/>
    <w:rsid w:val="00CE0C67"/>
    <w:rsid w:val="00CE2A16"/>
    <w:rsid w:val="00D35909"/>
    <w:rsid w:val="00D35A61"/>
    <w:rsid w:val="00D76458"/>
    <w:rsid w:val="00DA6BF1"/>
    <w:rsid w:val="00E019D3"/>
    <w:rsid w:val="00E0761D"/>
    <w:rsid w:val="00E07803"/>
    <w:rsid w:val="00E61A48"/>
    <w:rsid w:val="00E90250"/>
    <w:rsid w:val="00E9205D"/>
    <w:rsid w:val="00EB0E43"/>
    <w:rsid w:val="00ED793B"/>
    <w:rsid w:val="00F11E46"/>
    <w:rsid w:val="00F254C1"/>
    <w:rsid w:val="00F32F84"/>
    <w:rsid w:val="00F56EAA"/>
    <w:rsid w:val="00F76D52"/>
    <w:rsid w:val="00F860CB"/>
    <w:rsid w:val="00FA52CB"/>
    <w:rsid w:val="00FB7767"/>
    <w:rsid w:val="00FC69BD"/>
    <w:rsid w:val="00FF389F"/>
    <w:rsid w:val="00FF74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E2346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439"/>
    <w:pPr>
      <w:spacing w:after="0" w:line="240" w:lineRule="auto"/>
      <w:contextualSpacing/>
      <w:jc w:val="both"/>
    </w:pPr>
    <w:rPr>
      <w:rFonts w:ascii="Times New Roman" w:hAnsi="Times New Roman"/>
      <w:sz w:val="24"/>
    </w:rPr>
  </w:style>
  <w:style w:type="paragraph" w:styleId="Heading1">
    <w:name w:val="heading 1"/>
    <w:aliases w:val="Outline Heading I"/>
    <w:basedOn w:val="Normal"/>
    <w:next w:val="Normal"/>
    <w:link w:val="Heading1Char"/>
    <w:uiPriority w:val="9"/>
    <w:qFormat/>
    <w:rsid w:val="00705C51"/>
    <w:pPr>
      <w:keepNext/>
      <w:keepLines/>
      <w:numPr>
        <w:numId w:val="6"/>
      </w:numPr>
      <w:spacing w:after="240"/>
      <w:contextualSpacing w:val="0"/>
      <w:outlineLvl w:val="0"/>
    </w:pPr>
    <w:rPr>
      <w:rFonts w:eastAsiaTheme="majorEastAsia" w:cstheme="majorBidi"/>
      <w:b/>
      <w:szCs w:val="32"/>
    </w:rPr>
  </w:style>
  <w:style w:type="paragraph" w:styleId="Heading2">
    <w:name w:val="heading 2"/>
    <w:aliases w:val="Outline Heading II"/>
    <w:basedOn w:val="Heading1"/>
    <w:next w:val="Normal"/>
    <w:link w:val="Heading2Char"/>
    <w:uiPriority w:val="9"/>
    <w:unhideWhenUsed/>
    <w:qFormat/>
    <w:rsid w:val="00705C51"/>
    <w:pPr>
      <w:numPr>
        <w:numId w:val="16"/>
      </w:numPr>
      <w:ind w:left="1440" w:hanging="720"/>
      <w:outlineLvl w:val="1"/>
    </w:pPr>
    <w:rPr>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Heading">
    <w:name w:val="Docket Heading"/>
    <w:basedOn w:val="Title"/>
    <w:link w:val="DocketHeadingChar"/>
    <w:qFormat/>
    <w:rsid w:val="00CA1439"/>
    <w:pPr>
      <w:contextualSpacing w:val="0"/>
      <w:jc w:val="center"/>
    </w:pPr>
    <w:rPr>
      <w:rFonts w:ascii="Times New Roman" w:hAnsi="Times New Roman"/>
      <w:b/>
      <w:caps/>
      <w:sz w:val="24"/>
    </w:rPr>
  </w:style>
  <w:style w:type="paragraph" w:customStyle="1" w:styleId="CaptionHeading">
    <w:name w:val="Caption Heading"/>
    <w:basedOn w:val="DocketHeading"/>
    <w:next w:val="DocketHeading"/>
    <w:qFormat/>
    <w:rsid w:val="00395C31"/>
    <w:pPr>
      <w:jc w:val="both"/>
    </w:pPr>
  </w:style>
  <w:style w:type="paragraph" w:customStyle="1" w:styleId="PleadingTitle">
    <w:name w:val="Pleading Title"/>
    <w:basedOn w:val="CaptionHeading"/>
    <w:next w:val="BodyText"/>
    <w:qFormat/>
    <w:rsid w:val="00CA1439"/>
    <w:pPr>
      <w:spacing w:before="480" w:after="240"/>
      <w:contextualSpacing/>
      <w:jc w:val="center"/>
    </w:pPr>
    <w:rPr>
      <w:u w:val="single"/>
    </w:rPr>
  </w:style>
  <w:style w:type="paragraph" w:styleId="BodyText">
    <w:name w:val="Body Text"/>
    <w:basedOn w:val="Normal"/>
    <w:link w:val="BodyTextChar"/>
    <w:uiPriority w:val="99"/>
    <w:unhideWhenUsed/>
    <w:rsid w:val="00CA1439"/>
    <w:pPr>
      <w:spacing w:after="120" w:line="360" w:lineRule="auto"/>
      <w:ind w:firstLine="720"/>
    </w:pPr>
  </w:style>
  <w:style w:type="character" w:customStyle="1" w:styleId="BodyTextChar">
    <w:name w:val="Body Text Char"/>
    <w:basedOn w:val="DefaultParagraphFont"/>
    <w:link w:val="BodyText"/>
    <w:uiPriority w:val="99"/>
    <w:rsid w:val="00CA1439"/>
    <w:rPr>
      <w:rFonts w:ascii="Times New Roman" w:hAnsi="Times New Roman"/>
      <w:sz w:val="24"/>
    </w:rPr>
  </w:style>
  <w:style w:type="paragraph" w:customStyle="1" w:styleId="SignatureBlock">
    <w:name w:val="Signature Block"/>
    <w:basedOn w:val="BodyText"/>
    <w:qFormat/>
    <w:rsid w:val="00CA1439"/>
    <w:pPr>
      <w:spacing w:after="0" w:line="240" w:lineRule="auto"/>
      <w:ind w:left="4320" w:firstLine="0"/>
    </w:pPr>
  </w:style>
  <w:style w:type="paragraph" w:customStyle="1" w:styleId="CertificateofService">
    <w:name w:val="Certificate of Service"/>
    <w:basedOn w:val="PleadingTitle"/>
    <w:next w:val="CertificateofServiceParagraph"/>
    <w:qFormat/>
    <w:rsid w:val="00CA1439"/>
  </w:style>
  <w:style w:type="paragraph" w:styleId="BlockText">
    <w:name w:val="Block Text"/>
    <w:basedOn w:val="Normal"/>
    <w:uiPriority w:val="99"/>
    <w:semiHidden/>
    <w:unhideWhenUsed/>
    <w:rsid w:val="00CA143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Signature">
    <w:name w:val="Signature"/>
    <w:basedOn w:val="Normal"/>
    <w:link w:val="SignatureChar"/>
    <w:uiPriority w:val="99"/>
    <w:unhideWhenUsed/>
    <w:rsid w:val="00CA1439"/>
    <w:pPr>
      <w:ind w:left="4320"/>
    </w:pPr>
  </w:style>
  <w:style w:type="character" w:customStyle="1" w:styleId="SignatureChar">
    <w:name w:val="Signature Char"/>
    <w:basedOn w:val="DefaultParagraphFont"/>
    <w:link w:val="Signature"/>
    <w:uiPriority w:val="99"/>
    <w:rsid w:val="00CA1439"/>
    <w:rPr>
      <w:rFonts w:ascii="Times New Roman" w:hAnsi="Times New Roman"/>
      <w:sz w:val="24"/>
    </w:rPr>
  </w:style>
  <w:style w:type="paragraph" w:styleId="FootnoteText">
    <w:name w:val="footnote text"/>
    <w:basedOn w:val="Normal"/>
    <w:link w:val="FootnoteTextChar"/>
    <w:uiPriority w:val="99"/>
    <w:unhideWhenUsed/>
    <w:rsid w:val="001E1D81"/>
    <w:pPr>
      <w:spacing w:after="120"/>
      <w:ind w:firstLine="720"/>
      <w:contextualSpacing w:val="0"/>
    </w:pPr>
    <w:rPr>
      <w:sz w:val="20"/>
      <w:szCs w:val="20"/>
    </w:rPr>
  </w:style>
  <w:style w:type="character" w:customStyle="1" w:styleId="FootnoteTextChar">
    <w:name w:val="Footnote Text Char"/>
    <w:basedOn w:val="DefaultParagraphFont"/>
    <w:link w:val="FootnoteText"/>
    <w:uiPriority w:val="99"/>
    <w:rsid w:val="001E1D81"/>
    <w:rPr>
      <w:rFonts w:ascii="Times New Roman" w:hAnsi="Times New Roman"/>
      <w:sz w:val="20"/>
      <w:szCs w:val="20"/>
    </w:rPr>
  </w:style>
  <w:style w:type="paragraph" w:customStyle="1" w:styleId="CenteredHeadingsforListsinPleading">
    <w:name w:val="Centered Headings for Lists in Pleading"/>
    <w:basedOn w:val="BodyText"/>
    <w:next w:val="BodyText"/>
    <w:link w:val="CenteredHeadingsforListsinPleadingChar"/>
    <w:qFormat/>
    <w:rsid w:val="00CA1439"/>
    <w:pPr>
      <w:numPr>
        <w:numId w:val="1"/>
      </w:numPr>
      <w:jc w:val="center"/>
    </w:pPr>
    <w:rPr>
      <w:b/>
      <w:caps/>
    </w:rPr>
  </w:style>
  <w:style w:type="character" w:customStyle="1" w:styleId="CenteredHeadingsforListsinPleadingChar">
    <w:name w:val="Centered Headings for Lists in Pleading Char"/>
    <w:basedOn w:val="BodyTextChar"/>
    <w:link w:val="CenteredHeadingsforListsinPleading"/>
    <w:rsid w:val="00CA1439"/>
    <w:rPr>
      <w:rFonts w:ascii="Times New Roman" w:hAnsi="Times New Roman"/>
      <w:b/>
      <w:caps/>
      <w:sz w:val="24"/>
    </w:rPr>
  </w:style>
  <w:style w:type="paragraph" w:styleId="Title">
    <w:name w:val="Title"/>
    <w:basedOn w:val="Normal"/>
    <w:next w:val="Normal"/>
    <w:link w:val="TitleChar"/>
    <w:uiPriority w:val="10"/>
    <w:qFormat/>
    <w:rsid w:val="00CA1439"/>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1439"/>
    <w:rPr>
      <w:rFonts w:asciiTheme="majorHAnsi" w:eastAsiaTheme="majorEastAsia" w:hAnsiTheme="majorHAnsi" w:cstheme="majorBidi"/>
      <w:spacing w:val="-10"/>
      <w:kern w:val="28"/>
      <w:sz w:val="56"/>
      <w:szCs w:val="56"/>
    </w:rPr>
  </w:style>
  <w:style w:type="paragraph" w:customStyle="1" w:styleId="DocumentHeading">
    <w:name w:val="Document Heading"/>
    <w:basedOn w:val="DocketHeading"/>
    <w:next w:val="Normal"/>
    <w:link w:val="DocumentHeadingChar"/>
    <w:qFormat/>
    <w:rsid w:val="00CA1439"/>
  </w:style>
  <w:style w:type="character" w:customStyle="1" w:styleId="DocumentHeadingChar">
    <w:name w:val="Document Heading Char"/>
    <w:basedOn w:val="DefaultParagraphFont"/>
    <w:link w:val="DocumentHeading"/>
    <w:rsid w:val="00CA1439"/>
    <w:rPr>
      <w:rFonts w:ascii="Times New Roman" w:eastAsiaTheme="majorEastAsia" w:hAnsi="Times New Roman" w:cstheme="majorBidi"/>
      <w:b/>
      <w:caps/>
      <w:spacing w:val="-10"/>
      <w:kern w:val="28"/>
      <w:sz w:val="24"/>
      <w:szCs w:val="56"/>
    </w:rPr>
  </w:style>
  <w:style w:type="paragraph" w:customStyle="1" w:styleId="BoldedDate">
    <w:name w:val="Bolded Date"/>
    <w:basedOn w:val="Normal"/>
    <w:qFormat/>
    <w:rsid w:val="00CA1439"/>
    <w:pPr>
      <w:spacing w:after="240"/>
      <w:jc w:val="center"/>
    </w:pPr>
    <w:rPr>
      <w:b/>
    </w:rPr>
  </w:style>
  <w:style w:type="paragraph" w:customStyle="1" w:styleId="TableofContentsHeading">
    <w:name w:val="Table of Contents Heading"/>
    <w:basedOn w:val="DocketHeading"/>
    <w:qFormat/>
    <w:rsid w:val="00CA1439"/>
    <w:rPr>
      <w:u w:val="single"/>
    </w:rPr>
  </w:style>
  <w:style w:type="paragraph" w:customStyle="1" w:styleId="TestimonyAcronymsandAbbreviationsTitle">
    <w:name w:val="Testimony_Acronyms and Abbreviations Title"/>
    <w:basedOn w:val="DocumentHeading"/>
    <w:next w:val="TestimonyAcronymsandAbbreviations"/>
    <w:qFormat/>
    <w:rsid w:val="00CA1439"/>
    <w:pPr>
      <w:spacing w:after="240"/>
    </w:pPr>
    <w:rPr>
      <w:b w:val="0"/>
      <w:u w:val="single"/>
    </w:rPr>
  </w:style>
  <w:style w:type="paragraph" w:customStyle="1" w:styleId="TestimonyAcronymsandAbbreviations">
    <w:name w:val="Testimony_Acronyms and Abbreviations"/>
    <w:basedOn w:val="Normal"/>
    <w:qFormat/>
    <w:rsid w:val="00CA1439"/>
    <w:pPr>
      <w:spacing w:after="240"/>
      <w:contextualSpacing w:val="0"/>
    </w:pPr>
  </w:style>
  <w:style w:type="paragraph" w:customStyle="1" w:styleId="TestimonSOAHDocketNo">
    <w:name w:val="Testimon_SOAH Docket No."/>
    <w:basedOn w:val="DocketHeading"/>
    <w:qFormat/>
    <w:rsid w:val="00CA1439"/>
  </w:style>
  <w:style w:type="paragraph" w:customStyle="1" w:styleId="TestimonySOAHDocketNo">
    <w:name w:val="Testimony_SOAH Docket No."/>
    <w:basedOn w:val="DocketHeading"/>
    <w:next w:val="TestimonyPUCDocketNo"/>
    <w:qFormat/>
    <w:rsid w:val="00CA1439"/>
  </w:style>
  <w:style w:type="paragraph" w:customStyle="1" w:styleId="TestimonyPUCDocketNo">
    <w:name w:val="Testimony_PUC Docket No."/>
    <w:basedOn w:val="DocketHeading"/>
    <w:next w:val="TestimonyCaptionHeading"/>
    <w:qFormat/>
    <w:rsid w:val="00CA1439"/>
    <w:pPr>
      <w:spacing w:after="480"/>
    </w:pPr>
  </w:style>
  <w:style w:type="paragraph" w:customStyle="1" w:styleId="TestimonyCaptionHeading">
    <w:name w:val="Testimony_Caption Heading"/>
    <w:basedOn w:val="CaptionHeading"/>
    <w:next w:val="Normal"/>
    <w:qFormat/>
    <w:rsid w:val="00CA1439"/>
  </w:style>
  <w:style w:type="paragraph" w:customStyle="1" w:styleId="TestimonySOAHCaptionHeading">
    <w:name w:val="Testimony_SOAH Caption Heading"/>
    <w:basedOn w:val="DocketHeading"/>
    <w:next w:val="Normal"/>
    <w:qFormat/>
    <w:rsid w:val="00CA1439"/>
  </w:style>
  <w:style w:type="paragraph" w:customStyle="1" w:styleId="TestimonyStyleofCaseCaptionHeading">
    <w:name w:val="Testimony_Style of Case Caption Heading"/>
    <w:basedOn w:val="CaptionHeading"/>
    <w:next w:val="Normal"/>
    <w:qFormat/>
    <w:rsid w:val="00CA1439"/>
  </w:style>
  <w:style w:type="paragraph" w:customStyle="1" w:styleId="TestimonySectionSymbol">
    <w:name w:val="Testimony_Section Symbol"/>
    <w:basedOn w:val="DocketHeading"/>
    <w:next w:val="Normal"/>
    <w:link w:val="TestimonySectionSymbolChar"/>
    <w:qFormat/>
    <w:rsid w:val="00CA1439"/>
  </w:style>
  <w:style w:type="paragraph" w:customStyle="1" w:styleId="TestimonyBoldedDate">
    <w:name w:val="Testimony_Bolded Date"/>
    <w:basedOn w:val="Normal"/>
    <w:qFormat/>
    <w:rsid w:val="00CA1439"/>
    <w:pPr>
      <w:spacing w:after="240"/>
      <w:jc w:val="center"/>
    </w:pPr>
    <w:rPr>
      <w:b/>
    </w:rPr>
  </w:style>
  <w:style w:type="paragraph" w:customStyle="1" w:styleId="TestimonyTOCHeading">
    <w:name w:val="Testimony_TOC Heading"/>
    <w:basedOn w:val="TableofContentsHeading"/>
    <w:next w:val="Normal"/>
    <w:qFormat/>
    <w:rsid w:val="00CA1439"/>
  </w:style>
  <w:style w:type="paragraph" w:customStyle="1" w:styleId="TestimonySectionI">
    <w:name w:val="Testimony_Section (I."/>
    <w:aliases w:val="II.,III.) Heading"/>
    <w:basedOn w:val="Heading1"/>
    <w:next w:val="TestimonyQ"/>
    <w:qFormat/>
    <w:rsid w:val="00CA1439"/>
    <w:pPr>
      <w:numPr>
        <w:numId w:val="2"/>
      </w:numPr>
      <w:tabs>
        <w:tab w:val="left" w:pos="2832"/>
      </w:tabs>
      <w:jc w:val="center"/>
    </w:pPr>
    <w:rPr>
      <w:rFonts w:ascii="Times New Roman Bold" w:hAnsi="Times New Roman Bold"/>
      <w:b w:val="0"/>
      <w:caps/>
    </w:rPr>
  </w:style>
  <w:style w:type="character" w:customStyle="1" w:styleId="Heading1Char">
    <w:name w:val="Heading 1 Char"/>
    <w:aliases w:val="Outline Heading I Char"/>
    <w:basedOn w:val="DefaultParagraphFont"/>
    <w:link w:val="Heading1"/>
    <w:uiPriority w:val="9"/>
    <w:rsid w:val="00705C51"/>
    <w:rPr>
      <w:rFonts w:ascii="Times New Roman" w:eastAsiaTheme="majorEastAsia" w:hAnsi="Times New Roman" w:cstheme="majorBidi"/>
      <w:b/>
      <w:sz w:val="24"/>
      <w:szCs w:val="32"/>
    </w:rPr>
  </w:style>
  <w:style w:type="paragraph" w:customStyle="1" w:styleId="TestimonyQHeading">
    <w:name w:val="Testimony_Q Heading"/>
    <w:basedOn w:val="Normal"/>
    <w:next w:val="TestimonyA"/>
    <w:qFormat/>
    <w:rsid w:val="00CA1439"/>
    <w:pPr>
      <w:tabs>
        <w:tab w:val="left" w:pos="720"/>
      </w:tabs>
      <w:spacing w:line="360" w:lineRule="auto"/>
    </w:pPr>
    <w:rPr>
      <w:rFonts w:ascii="Times New Roman Bold" w:eastAsiaTheme="majorEastAsia" w:hAnsi="Times New Roman Bold" w:cstheme="majorBidi"/>
      <w:b/>
      <w:caps/>
      <w:szCs w:val="32"/>
    </w:rPr>
  </w:style>
  <w:style w:type="paragraph" w:customStyle="1" w:styleId="TestimonyA">
    <w:name w:val="Testimony_A"/>
    <w:basedOn w:val="TestimonyQHeading"/>
    <w:next w:val="TestimonyQHeading"/>
    <w:qFormat/>
    <w:rsid w:val="00CA1439"/>
    <w:pPr>
      <w:numPr>
        <w:ilvl w:val="1"/>
        <w:numId w:val="3"/>
      </w:numPr>
    </w:pPr>
    <w:rPr>
      <w:rFonts w:ascii="Times New Roman" w:hAnsi="Times New Roman"/>
      <w:b w:val="0"/>
      <w:caps w:val="0"/>
    </w:rPr>
  </w:style>
  <w:style w:type="paragraph" w:customStyle="1" w:styleId="TestimonySectiona">
    <w:name w:val="Testimony_Section (a."/>
    <w:aliases w:val="b.,c.) Heading"/>
    <w:basedOn w:val="TestimonySectionI"/>
    <w:next w:val="TestimonyQ"/>
    <w:qFormat/>
    <w:rsid w:val="00E9205D"/>
    <w:pPr>
      <w:numPr>
        <w:numId w:val="8"/>
      </w:numPr>
      <w:tabs>
        <w:tab w:val="clear" w:pos="2832"/>
      </w:tabs>
    </w:pPr>
    <w:rPr>
      <w:caps w:val="0"/>
    </w:rPr>
  </w:style>
  <w:style w:type="paragraph" w:customStyle="1" w:styleId="TestimonyQ">
    <w:name w:val="Testimony_Q"/>
    <w:basedOn w:val="Normal"/>
    <w:next w:val="TestimonyA"/>
    <w:qFormat/>
    <w:rsid w:val="00CA1439"/>
    <w:pPr>
      <w:numPr>
        <w:numId w:val="3"/>
      </w:numPr>
      <w:tabs>
        <w:tab w:val="left" w:pos="720"/>
      </w:tabs>
      <w:spacing w:line="360" w:lineRule="auto"/>
    </w:pPr>
    <w:rPr>
      <w:rFonts w:ascii="Times New Roman Bold" w:eastAsiaTheme="majorEastAsia" w:hAnsi="Times New Roman Bold" w:cstheme="majorBidi"/>
      <w:b/>
      <w:caps/>
      <w:szCs w:val="32"/>
    </w:rPr>
  </w:style>
  <w:style w:type="paragraph" w:customStyle="1" w:styleId="TestimonyTOCPageHeading">
    <w:name w:val="Testimony_TOC Page Heading"/>
    <w:basedOn w:val="Normal"/>
    <w:qFormat/>
    <w:rsid w:val="00CA1439"/>
    <w:pPr>
      <w:spacing w:after="240"/>
      <w:contextualSpacing w:val="0"/>
      <w:jc w:val="right"/>
    </w:pPr>
    <w:rPr>
      <w:b/>
      <w:bCs/>
      <w:u w:val="single"/>
    </w:rPr>
  </w:style>
  <w:style w:type="paragraph" w:styleId="TOC1">
    <w:name w:val="toc 1"/>
    <w:basedOn w:val="BriefHeadingI"/>
    <w:next w:val="Normal"/>
    <w:autoRedefine/>
    <w:uiPriority w:val="39"/>
    <w:unhideWhenUsed/>
    <w:rsid w:val="00525CCB"/>
    <w:pPr>
      <w:tabs>
        <w:tab w:val="right" w:leader="dot" w:pos="9350"/>
      </w:tabs>
      <w:contextualSpacing w:val="0"/>
    </w:pPr>
    <w:rPr>
      <w:rFonts w:ascii="Times New Roman" w:hAnsi="Times New Roman"/>
      <w:b w:val="0"/>
      <w:noProof/>
    </w:rPr>
  </w:style>
  <w:style w:type="paragraph" w:styleId="TOC2">
    <w:name w:val="toc 2"/>
    <w:basedOn w:val="BriefHeadingA"/>
    <w:next w:val="Normal"/>
    <w:autoRedefine/>
    <w:uiPriority w:val="39"/>
    <w:unhideWhenUsed/>
    <w:rsid w:val="00525CCB"/>
    <w:pPr>
      <w:tabs>
        <w:tab w:val="left" w:pos="1440"/>
        <w:tab w:val="right" w:leader="dot" w:pos="9350"/>
      </w:tabs>
      <w:ind w:left="1080" w:hanging="360"/>
      <w:contextualSpacing w:val="0"/>
      <w:outlineLvl w:val="1"/>
    </w:pPr>
    <w:rPr>
      <w:rFonts w:ascii="Times New Roman" w:hAnsi="Times New Roman"/>
      <w:b w:val="0"/>
    </w:rPr>
  </w:style>
  <w:style w:type="paragraph" w:customStyle="1" w:styleId="TestimonyTOCAttachmentsHeading">
    <w:name w:val="Testimony_TOC Attachments Heading"/>
    <w:basedOn w:val="TestimonyTOCPageHeading"/>
    <w:qFormat/>
    <w:rsid w:val="00CA1439"/>
    <w:pPr>
      <w:spacing w:after="120"/>
      <w:ind w:left="720" w:hanging="720"/>
      <w:jc w:val="both"/>
    </w:pPr>
    <w:rPr>
      <w:rFonts w:ascii="Times New Roman Bold" w:hAnsi="Times New Roman Bold"/>
      <w:caps/>
      <w:u w:val="none"/>
    </w:rPr>
  </w:style>
  <w:style w:type="paragraph" w:customStyle="1" w:styleId="TestimonyTOCAttachmentNames">
    <w:name w:val="Testimony_TOC Attachment Names"/>
    <w:basedOn w:val="TestimonyTOCAttachmentsHeading"/>
    <w:qFormat/>
    <w:rsid w:val="00CA1439"/>
    <w:pPr>
      <w:ind w:left="1080"/>
    </w:pPr>
    <w:rPr>
      <w:rFonts w:ascii="Times New Roman" w:hAnsi="Times New Roman"/>
      <w:b w:val="0"/>
      <w:caps w:val="0"/>
    </w:rPr>
  </w:style>
  <w:style w:type="paragraph" w:customStyle="1" w:styleId="TestimonyTOCSchedulesHeading">
    <w:name w:val="Testimony_TOC Schedules Heading"/>
    <w:basedOn w:val="TestimonyTOCAttachmentsHeading"/>
    <w:qFormat/>
    <w:rsid w:val="00CA1439"/>
  </w:style>
  <w:style w:type="paragraph" w:customStyle="1" w:styleId="TestimonyTOCSchedulesNames">
    <w:name w:val="Testimony_TOC Schedules Names"/>
    <w:basedOn w:val="TestimonyTOCAttachmentNames"/>
    <w:qFormat/>
    <w:rsid w:val="00CA1439"/>
  </w:style>
  <w:style w:type="paragraph" w:customStyle="1" w:styleId="SOAHDocketNo">
    <w:name w:val="SOAH Docket No."/>
    <w:basedOn w:val="DocketHeading"/>
    <w:next w:val="PUCDocketNo"/>
    <w:qFormat/>
    <w:rsid w:val="00CA1439"/>
  </w:style>
  <w:style w:type="paragraph" w:customStyle="1" w:styleId="PUCDocketNo">
    <w:name w:val="PUC Docket No."/>
    <w:basedOn w:val="DocketHeading"/>
    <w:next w:val="Normal"/>
    <w:qFormat/>
    <w:rsid w:val="00CA1439"/>
    <w:pPr>
      <w:contextualSpacing/>
    </w:pPr>
  </w:style>
  <w:style w:type="paragraph" w:customStyle="1" w:styleId="SOAHCaption">
    <w:name w:val="SOAH Caption"/>
    <w:basedOn w:val="Normal"/>
    <w:qFormat/>
    <w:rsid w:val="00CA1439"/>
    <w:pPr>
      <w:contextualSpacing w:val="0"/>
      <w:jc w:val="center"/>
    </w:pPr>
    <w:rPr>
      <w:rFonts w:eastAsiaTheme="majorEastAsia" w:cstheme="majorBidi"/>
      <w:b/>
      <w:caps/>
      <w:spacing w:val="-10"/>
      <w:kern w:val="28"/>
      <w:szCs w:val="56"/>
    </w:rPr>
  </w:style>
  <w:style w:type="paragraph" w:customStyle="1" w:styleId="HeaderTitle">
    <w:name w:val="Header Title"/>
    <w:basedOn w:val="Normal"/>
    <w:link w:val="HeaderTitleChar"/>
    <w:qFormat/>
    <w:rsid w:val="00CA1439"/>
    <w:pPr>
      <w:jc w:val="center"/>
    </w:pPr>
    <w:rPr>
      <w:rFonts w:ascii="Times New Roman Bold" w:eastAsiaTheme="majorEastAsia" w:hAnsi="Times New Roman Bold" w:cstheme="majorBidi"/>
      <w:b/>
      <w:spacing w:val="-10"/>
      <w:kern w:val="28"/>
      <w:szCs w:val="56"/>
    </w:rPr>
  </w:style>
  <w:style w:type="character" w:customStyle="1" w:styleId="HeaderTitleChar">
    <w:name w:val="Header Title Char"/>
    <w:basedOn w:val="DefaultParagraphFont"/>
    <w:link w:val="HeaderTitle"/>
    <w:rsid w:val="00CA1439"/>
    <w:rPr>
      <w:rFonts w:ascii="Times New Roman Bold" w:eastAsiaTheme="majorEastAsia" w:hAnsi="Times New Roman Bold" w:cstheme="majorBidi"/>
      <w:b/>
      <w:spacing w:val="-10"/>
      <w:kern w:val="28"/>
      <w:sz w:val="24"/>
      <w:szCs w:val="56"/>
    </w:rPr>
  </w:style>
  <w:style w:type="paragraph" w:customStyle="1" w:styleId="CertificateofServiceParagraph">
    <w:name w:val="Certificate of Service Paragraph"/>
    <w:basedOn w:val="Normal"/>
    <w:next w:val="Signature"/>
    <w:link w:val="CertificateofServiceParagraphChar"/>
    <w:qFormat/>
    <w:rsid w:val="00CA1439"/>
    <w:pPr>
      <w:tabs>
        <w:tab w:val="left" w:pos="0"/>
      </w:tabs>
      <w:spacing w:after="480"/>
      <w:ind w:firstLine="720"/>
      <w:contextualSpacing w:val="0"/>
    </w:pPr>
  </w:style>
  <w:style w:type="character" w:customStyle="1" w:styleId="CertificateofServiceParagraphChar">
    <w:name w:val="Certificate of Service Paragraph Char"/>
    <w:basedOn w:val="DefaultParagraphFont"/>
    <w:link w:val="CertificateofServiceParagraph"/>
    <w:rsid w:val="00CA1439"/>
    <w:rPr>
      <w:rFonts w:ascii="Times New Roman" w:hAnsi="Times New Roman"/>
      <w:sz w:val="24"/>
    </w:rPr>
  </w:style>
  <w:style w:type="paragraph" w:customStyle="1" w:styleId="RFITitle">
    <w:name w:val="RFI Title"/>
    <w:basedOn w:val="Title"/>
    <w:next w:val="BodyText"/>
    <w:qFormat/>
    <w:rsid w:val="00CA1439"/>
    <w:pPr>
      <w:spacing w:after="240"/>
      <w:jc w:val="center"/>
    </w:pPr>
    <w:rPr>
      <w:rFonts w:ascii="Times New Roman" w:hAnsi="Times New Roman"/>
      <w:b/>
      <w:caps/>
      <w:sz w:val="24"/>
    </w:rPr>
  </w:style>
  <w:style w:type="paragraph" w:customStyle="1" w:styleId="RFISubtitle">
    <w:name w:val="RFI Subtitle"/>
    <w:basedOn w:val="RFITitle"/>
    <w:next w:val="RFIListParagraphforDefinitions"/>
    <w:qFormat/>
    <w:rsid w:val="00CA1439"/>
    <w:pPr>
      <w:spacing w:before="120" w:after="120" w:line="360" w:lineRule="auto"/>
    </w:pPr>
    <w:rPr>
      <w:caps w:val="0"/>
      <w:u w:val="single"/>
    </w:rPr>
  </w:style>
  <w:style w:type="paragraph" w:customStyle="1" w:styleId="RFIListParagraphforDefinitions">
    <w:name w:val="RFI List Paragraph for Definitions"/>
    <w:aliases w:val="Instructions,and Claim of Privilege"/>
    <w:basedOn w:val="ListParagraph"/>
    <w:link w:val="RFIListParagraphforDefinitionsChar"/>
    <w:qFormat/>
    <w:rsid w:val="00CA1439"/>
    <w:pPr>
      <w:numPr>
        <w:numId w:val="4"/>
      </w:numPr>
      <w:spacing w:after="120" w:line="360" w:lineRule="auto"/>
      <w:contextualSpacing w:val="0"/>
    </w:pPr>
  </w:style>
  <w:style w:type="character" w:customStyle="1" w:styleId="RFIListParagraphforDefinitionsChar">
    <w:name w:val="RFI List Paragraph for Definitions Char"/>
    <w:aliases w:val="Instructions Char,and Claim of Privilege Char"/>
    <w:basedOn w:val="DefaultParagraphFont"/>
    <w:link w:val="RFIListParagraphforDefinitions"/>
    <w:rsid w:val="00CA1439"/>
    <w:rPr>
      <w:rFonts w:ascii="Times New Roman" w:hAnsi="Times New Roman"/>
      <w:sz w:val="24"/>
    </w:rPr>
  </w:style>
  <w:style w:type="paragraph" w:styleId="ListParagraph">
    <w:name w:val="List Paragraph"/>
    <w:basedOn w:val="Normal"/>
    <w:uiPriority w:val="34"/>
    <w:qFormat/>
    <w:rsid w:val="00CA1439"/>
    <w:pPr>
      <w:ind w:left="720"/>
    </w:pPr>
  </w:style>
  <w:style w:type="paragraph" w:customStyle="1" w:styleId="RFIListParagraphforInstructions">
    <w:name w:val="RFI List Paragraph for Instructions"/>
    <w:basedOn w:val="RFIListParagraphforDefinitions"/>
    <w:link w:val="RFIListParagraphforInstructionsChar"/>
    <w:qFormat/>
    <w:rsid w:val="00CA1439"/>
    <w:pPr>
      <w:numPr>
        <w:numId w:val="5"/>
      </w:numPr>
      <w:spacing w:after="0"/>
    </w:pPr>
  </w:style>
  <w:style w:type="character" w:customStyle="1" w:styleId="RFIListParagraphforInstructionsChar">
    <w:name w:val="RFI List Paragraph for Instructions Char"/>
    <w:basedOn w:val="RFIListParagraphforDefinitionsChar"/>
    <w:link w:val="RFIListParagraphforInstructions"/>
    <w:rsid w:val="00CA1439"/>
    <w:rPr>
      <w:rFonts w:ascii="Times New Roman" w:hAnsi="Times New Roman"/>
      <w:sz w:val="24"/>
    </w:rPr>
  </w:style>
  <w:style w:type="paragraph" w:customStyle="1" w:styleId="PUCCaption">
    <w:name w:val="PUC Caption"/>
    <w:basedOn w:val="SOAHCaption"/>
    <w:link w:val="PUCCaptionChar"/>
    <w:qFormat/>
    <w:rsid w:val="00CA1439"/>
    <w:pPr>
      <w:spacing w:line="360" w:lineRule="auto"/>
    </w:pPr>
  </w:style>
  <w:style w:type="character" w:customStyle="1" w:styleId="PUCCaptionChar">
    <w:name w:val="PUC Caption Char"/>
    <w:basedOn w:val="DefaultParagraphFont"/>
    <w:link w:val="PUCCaption"/>
    <w:rsid w:val="00CA1439"/>
    <w:rPr>
      <w:rFonts w:ascii="Times New Roman" w:eastAsiaTheme="majorEastAsia" w:hAnsi="Times New Roman" w:cstheme="majorBidi"/>
      <w:b/>
      <w:caps/>
      <w:spacing w:val="-10"/>
      <w:kern w:val="28"/>
      <w:sz w:val="24"/>
      <w:szCs w:val="56"/>
    </w:rPr>
  </w:style>
  <w:style w:type="character" w:customStyle="1" w:styleId="Heading2Char">
    <w:name w:val="Heading 2 Char"/>
    <w:aliases w:val="Outline Heading II Char"/>
    <w:basedOn w:val="DefaultParagraphFont"/>
    <w:link w:val="Heading2"/>
    <w:uiPriority w:val="9"/>
    <w:rsid w:val="00705C51"/>
    <w:rPr>
      <w:rFonts w:ascii="Times New Roman" w:eastAsiaTheme="majorEastAsia" w:hAnsi="Times New Roman" w:cstheme="majorBidi"/>
      <w:b/>
      <w:sz w:val="24"/>
      <w:szCs w:val="26"/>
    </w:rPr>
  </w:style>
  <w:style w:type="paragraph" w:customStyle="1" w:styleId="CaptionSectionSymbol">
    <w:name w:val="Caption Section Symbol"/>
    <w:basedOn w:val="TestimonySectionSymbol"/>
    <w:link w:val="CaptionSectionSymbolChar"/>
    <w:qFormat/>
    <w:rsid w:val="00CA1439"/>
  </w:style>
  <w:style w:type="character" w:customStyle="1" w:styleId="CaptionSectionSymbolChar">
    <w:name w:val="Caption Section Symbol Char"/>
    <w:basedOn w:val="TestimonySectionSymbolChar"/>
    <w:link w:val="CaptionSectionSymbol"/>
    <w:rsid w:val="00CA1439"/>
    <w:rPr>
      <w:rFonts w:ascii="Times New Roman" w:eastAsiaTheme="majorEastAsia" w:hAnsi="Times New Roman" w:cstheme="majorBidi"/>
      <w:b/>
      <w:caps/>
      <w:spacing w:val="-10"/>
      <w:kern w:val="28"/>
      <w:sz w:val="24"/>
      <w:szCs w:val="56"/>
    </w:rPr>
  </w:style>
  <w:style w:type="paragraph" w:customStyle="1" w:styleId="BriefCoverPageTitle">
    <w:name w:val="Brief Cover Page Title"/>
    <w:basedOn w:val="PleadingTitle"/>
    <w:next w:val="SignatureBlock"/>
    <w:qFormat/>
    <w:rsid w:val="00CA1439"/>
    <w:pPr>
      <w:spacing w:after="720"/>
    </w:pPr>
    <w:rPr>
      <w:u w:val="none"/>
    </w:rPr>
  </w:style>
  <w:style w:type="paragraph" w:customStyle="1" w:styleId="BriefTOCHeading">
    <w:name w:val="Brief_TOC Heading"/>
    <w:basedOn w:val="TestimonyTOCHeading"/>
    <w:qFormat/>
    <w:rsid w:val="00CA1439"/>
  </w:style>
  <w:style w:type="paragraph" w:customStyle="1" w:styleId="BriefCoverPageTitle0">
    <w:name w:val="Brief_Cover Page Title"/>
    <w:basedOn w:val="PleadingTitle"/>
    <w:next w:val="SignatureBlock"/>
    <w:qFormat/>
    <w:rsid w:val="00CA1439"/>
    <w:pPr>
      <w:spacing w:after="720"/>
    </w:pPr>
    <w:rPr>
      <w:u w:val="none"/>
    </w:rPr>
  </w:style>
  <w:style w:type="paragraph" w:customStyle="1" w:styleId="MemoSectionI">
    <w:name w:val="Memo_Section (I."/>
    <w:aliases w:val="II.) Heading"/>
    <w:basedOn w:val="Heading1"/>
    <w:next w:val="BodyText"/>
    <w:qFormat/>
    <w:rsid w:val="00DA6BF1"/>
    <w:pPr>
      <w:numPr>
        <w:numId w:val="13"/>
      </w:numPr>
      <w:tabs>
        <w:tab w:val="left" w:pos="720"/>
      </w:tabs>
      <w:contextualSpacing/>
    </w:pPr>
    <w:rPr>
      <w:rFonts w:ascii="Times New Roman Bold" w:hAnsi="Times New Roman Bold"/>
    </w:rPr>
  </w:style>
  <w:style w:type="character" w:styleId="FootnoteReference">
    <w:name w:val="footnote reference"/>
    <w:basedOn w:val="DefaultParagraphFont"/>
    <w:uiPriority w:val="99"/>
    <w:semiHidden/>
    <w:unhideWhenUsed/>
    <w:rsid w:val="00CA1439"/>
    <w:rPr>
      <w:vertAlign w:val="superscript"/>
    </w:rPr>
  </w:style>
  <w:style w:type="table" w:styleId="TableGrid">
    <w:name w:val="Table Grid"/>
    <w:basedOn w:val="TableNormal"/>
    <w:uiPriority w:val="39"/>
    <w:rsid w:val="00CA14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HeadingChar">
    <w:name w:val="Docket Heading Char"/>
    <w:basedOn w:val="TitleChar"/>
    <w:link w:val="DocketHeading"/>
    <w:rsid w:val="00CA1439"/>
    <w:rPr>
      <w:rFonts w:ascii="Times New Roman" w:eastAsiaTheme="majorEastAsia" w:hAnsi="Times New Roman" w:cstheme="majorBidi"/>
      <w:b/>
      <w:caps/>
      <w:spacing w:val="-10"/>
      <w:kern w:val="28"/>
      <w:sz w:val="24"/>
      <w:szCs w:val="56"/>
    </w:rPr>
  </w:style>
  <w:style w:type="character" w:customStyle="1" w:styleId="TestimonySectionSymbolChar">
    <w:name w:val="Testimony_Section Symbol Char"/>
    <w:basedOn w:val="DocketHeadingChar"/>
    <w:link w:val="TestimonySectionSymbol"/>
    <w:rsid w:val="00CA1439"/>
    <w:rPr>
      <w:rFonts w:ascii="Times New Roman" w:eastAsiaTheme="majorEastAsia" w:hAnsi="Times New Roman" w:cstheme="majorBidi"/>
      <w:b/>
      <w:caps/>
      <w:spacing w:val="-10"/>
      <w:kern w:val="28"/>
      <w:sz w:val="24"/>
      <w:szCs w:val="56"/>
    </w:rPr>
  </w:style>
  <w:style w:type="paragraph" w:customStyle="1" w:styleId="MemoSectionA">
    <w:name w:val="Memo_Section (A."/>
    <w:aliases w:val="B.,C.) Heading"/>
    <w:basedOn w:val="ListParagraph"/>
    <w:next w:val="BodyText"/>
    <w:qFormat/>
    <w:rsid w:val="00DA6BF1"/>
    <w:pPr>
      <w:tabs>
        <w:tab w:val="left" w:pos="720"/>
      </w:tabs>
      <w:spacing w:after="240"/>
      <w:ind w:left="0"/>
      <w:contextualSpacing w:val="0"/>
      <w:outlineLvl w:val="1"/>
    </w:pPr>
    <w:rPr>
      <w:b/>
    </w:rPr>
  </w:style>
  <w:style w:type="paragraph" w:customStyle="1" w:styleId="MemoSection1">
    <w:name w:val="Memo_Section (1."/>
    <w:aliases w:val="2.,3.) Heading"/>
    <w:basedOn w:val="BodyText"/>
    <w:next w:val="BodyText"/>
    <w:qFormat/>
    <w:rsid w:val="00DA6BF1"/>
    <w:pPr>
      <w:numPr>
        <w:numId w:val="14"/>
      </w:numPr>
      <w:spacing w:after="240" w:line="240" w:lineRule="auto"/>
    </w:pPr>
    <w:rPr>
      <w:rFonts w:ascii="Times New Roman Bold" w:hAnsi="Times New Roman Bold"/>
      <w:b/>
    </w:rPr>
  </w:style>
  <w:style w:type="paragraph" w:styleId="TOC3">
    <w:name w:val="toc 3"/>
    <w:basedOn w:val="BriefHeading1"/>
    <w:next w:val="Normal"/>
    <w:autoRedefine/>
    <w:uiPriority w:val="39"/>
    <w:unhideWhenUsed/>
    <w:rsid w:val="00525CCB"/>
    <w:pPr>
      <w:tabs>
        <w:tab w:val="left" w:pos="2160"/>
        <w:tab w:val="right" w:leader="dot" w:pos="9350"/>
      </w:tabs>
      <w:ind w:left="1440" w:hanging="360"/>
      <w:jc w:val="left"/>
    </w:pPr>
    <w:rPr>
      <w:rFonts w:ascii="Times New Roman" w:eastAsiaTheme="minorEastAsia" w:hAnsi="Times New Roman" w:cs="Times New Roman"/>
      <w:b w:val="0"/>
    </w:rPr>
  </w:style>
  <w:style w:type="paragraph" w:customStyle="1" w:styleId="MemoSectiona0">
    <w:name w:val="Memo_Section (a."/>
    <w:aliases w:val="b.) Heading"/>
    <w:basedOn w:val="BodyText"/>
    <w:next w:val="BodyText"/>
    <w:qFormat/>
    <w:rsid w:val="00DA6BF1"/>
    <w:pPr>
      <w:spacing w:after="240" w:line="240" w:lineRule="auto"/>
      <w:ind w:firstLine="0"/>
    </w:pPr>
    <w:rPr>
      <w:rFonts w:ascii="Times New Roman Bold" w:hAnsi="Times New Roman Bold"/>
      <w:b/>
    </w:rPr>
  </w:style>
  <w:style w:type="paragraph" w:styleId="TOC4">
    <w:name w:val="toc 4"/>
    <w:basedOn w:val="BriefHeadinga0"/>
    <w:next w:val="Normal"/>
    <w:autoRedefine/>
    <w:uiPriority w:val="39"/>
    <w:unhideWhenUsed/>
    <w:rsid w:val="00525CCB"/>
    <w:pPr>
      <w:ind w:left="1800" w:hanging="360"/>
    </w:pPr>
    <w:rPr>
      <w:rFonts w:ascii="Times New Roman" w:hAnsi="Times New Roman"/>
      <w:b w:val="0"/>
    </w:rPr>
  </w:style>
  <w:style w:type="paragraph" w:customStyle="1" w:styleId="BriefHeadingI">
    <w:name w:val="Brief Heading I"/>
    <w:aliases w:val="II,III"/>
    <w:basedOn w:val="MemoSectionI"/>
    <w:next w:val="BodyText"/>
    <w:qFormat/>
    <w:rsid w:val="00E9205D"/>
    <w:pPr>
      <w:numPr>
        <w:numId w:val="0"/>
      </w:numPr>
      <w:ind w:left="720" w:hanging="720"/>
      <w:outlineLvl w:val="9"/>
    </w:pPr>
  </w:style>
  <w:style w:type="paragraph" w:customStyle="1" w:styleId="BriefHeadingA">
    <w:name w:val="Brief Heading A"/>
    <w:aliases w:val="B,C"/>
    <w:basedOn w:val="Normal"/>
    <w:next w:val="BodyText"/>
    <w:qFormat/>
    <w:rsid w:val="00525CCB"/>
    <w:pPr>
      <w:spacing w:after="240"/>
      <w:ind w:left="1440" w:hanging="720"/>
    </w:pPr>
    <w:rPr>
      <w:rFonts w:ascii="Times New Roman Bold" w:hAnsi="Times New Roman Bold"/>
      <w:b/>
    </w:rPr>
  </w:style>
  <w:style w:type="paragraph" w:customStyle="1" w:styleId="BriefHeading1">
    <w:name w:val="Brief Heading 1"/>
    <w:aliases w:val="2,3"/>
    <w:basedOn w:val="BodyText"/>
    <w:next w:val="BodyText"/>
    <w:qFormat/>
    <w:rsid w:val="00E9205D"/>
    <w:pPr>
      <w:spacing w:after="240" w:line="240" w:lineRule="auto"/>
      <w:ind w:left="2160" w:hanging="720"/>
    </w:pPr>
    <w:rPr>
      <w:rFonts w:ascii="Times New Roman Bold" w:hAnsi="Times New Roman Bold"/>
      <w:b/>
    </w:rPr>
  </w:style>
  <w:style w:type="paragraph" w:customStyle="1" w:styleId="BriefHeadinga0">
    <w:name w:val="Brief Heading a"/>
    <w:aliases w:val="b,c"/>
    <w:basedOn w:val="Normal"/>
    <w:next w:val="BodyText"/>
    <w:qFormat/>
    <w:rsid w:val="00525CCB"/>
    <w:pPr>
      <w:spacing w:after="240"/>
      <w:ind w:left="2880" w:hanging="720"/>
    </w:pPr>
    <w:rPr>
      <w:rFonts w:ascii="Times New Roman Bold" w:hAnsi="Times New Roman Bold"/>
      <w:b/>
    </w:rPr>
  </w:style>
  <w:style w:type="paragraph" w:customStyle="1" w:styleId="ProposedFOFandCOLTitle">
    <w:name w:val="Proposed FOF and COL Title"/>
    <w:basedOn w:val="BodyText"/>
    <w:next w:val="ProposedFOFandCOLSubtitles"/>
    <w:link w:val="ProposedFOFandCOLTitleChar"/>
    <w:qFormat/>
    <w:rsid w:val="00395C31"/>
    <w:pPr>
      <w:ind w:firstLine="0"/>
      <w:jc w:val="center"/>
    </w:pPr>
    <w:rPr>
      <w:rFonts w:ascii="Times New Roman Bold" w:hAnsi="Times New Roman Bold"/>
      <w:b/>
      <w:smallCaps/>
      <w:u w:val="single"/>
    </w:rPr>
  </w:style>
  <w:style w:type="paragraph" w:customStyle="1" w:styleId="ProposedFOFandCOLSubtitles">
    <w:name w:val="Proposed FOF and COL Subtitles"/>
    <w:basedOn w:val="ProposedFOFandCOLTitle"/>
    <w:next w:val="ProposedFOFandCOLnumberedparagraphs"/>
    <w:link w:val="ProposedFOFandCOLSubtitlesChar"/>
    <w:qFormat/>
    <w:rsid w:val="00395C31"/>
    <w:pPr>
      <w:jc w:val="both"/>
    </w:pPr>
    <w:rPr>
      <w:i/>
      <w:smallCaps w:val="0"/>
    </w:rPr>
  </w:style>
  <w:style w:type="character" w:customStyle="1" w:styleId="ProposedFOFandCOLSubtitlesChar">
    <w:name w:val="Proposed FOF and COL Subtitles Char"/>
    <w:basedOn w:val="ProposedFOFandCOLTitleChar"/>
    <w:link w:val="ProposedFOFandCOLSubtitles"/>
    <w:rsid w:val="00395C31"/>
    <w:rPr>
      <w:rFonts w:ascii="Times New Roman Bold" w:hAnsi="Times New Roman Bold"/>
      <w:b/>
      <w:i/>
      <w:smallCaps w:val="0"/>
      <w:sz w:val="24"/>
      <w:u w:val="single"/>
    </w:rPr>
  </w:style>
  <w:style w:type="character" w:customStyle="1" w:styleId="ProposedFOFandCOLTitleChar">
    <w:name w:val="Proposed FOF and COL Title Char"/>
    <w:basedOn w:val="BodyTextChar"/>
    <w:link w:val="ProposedFOFandCOLTitle"/>
    <w:rsid w:val="00395C31"/>
    <w:rPr>
      <w:rFonts w:ascii="Times New Roman Bold" w:hAnsi="Times New Roman Bold"/>
      <w:b/>
      <w:smallCaps/>
      <w:sz w:val="24"/>
      <w:u w:val="single"/>
    </w:rPr>
  </w:style>
  <w:style w:type="paragraph" w:customStyle="1" w:styleId="ProposedFOFandCOLnumberedparagraphs">
    <w:name w:val="Proposed FOF and COL numbered paragraphs"/>
    <w:basedOn w:val="ListParagraph"/>
    <w:qFormat/>
    <w:rsid w:val="00395C31"/>
    <w:pPr>
      <w:numPr>
        <w:numId w:val="12"/>
      </w:numPr>
      <w:spacing w:after="240"/>
      <w:contextualSpacing w:val="0"/>
    </w:pPr>
  </w:style>
  <w:style w:type="paragraph" w:customStyle="1" w:styleId="MemoTitle">
    <w:name w:val="Memo_Title"/>
    <w:basedOn w:val="PleadingTitle"/>
    <w:next w:val="SignatureBlock"/>
    <w:qFormat/>
    <w:rsid w:val="00DA6BF1"/>
    <w:pPr>
      <w:spacing w:before="0" w:after="480"/>
    </w:pPr>
    <w:rPr>
      <w:u w:val="none"/>
    </w:rPr>
  </w:style>
  <w:style w:type="character" w:styleId="Hyperlink">
    <w:name w:val="Hyperlink"/>
    <w:basedOn w:val="DefaultParagraphFont"/>
    <w:uiPriority w:val="99"/>
    <w:unhideWhenUsed/>
    <w:rsid w:val="001A00A6"/>
    <w:rPr>
      <w:color w:val="0563C1" w:themeColor="hyperlink"/>
      <w:u w:val="single"/>
    </w:rPr>
  </w:style>
  <w:style w:type="character" w:styleId="UnresolvedMention">
    <w:name w:val="Unresolved Mention"/>
    <w:basedOn w:val="DefaultParagraphFont"/>
    <w:uiPriority w:val="99"/>
    <w:semiHidden/>
    <w:unhideWhenUsed/>
    <w:rsid w:val="001A00A6"/>
    <w:rPr>
      <w:color w:val="605E5C"/>
      <w:shd w:val="clear" w:color="auto" w:fill="E1DFDD"/>
    </w:rPr>
  </w:style>
  <w:style w:type="paragraph" w:styleId="Header">
    <w:name w:val="header"/>
    <w:basedOn w:val="Normal"/>
    <w:link w:val="HeaderChar"/>
    <w:uiPriority w:val="99"/>
    <w:unhideWhenUsed/>
    <w:rsid w:val="00B002EE"/>
    <w:pPr>
      <w:tabs>
        <w:tab w:val="center" w:pos="4680"/>
        <w:tab w:val="right" w:pos="9360"/>
      </w:tabs>
    </w:pPr>
  </w:style>
  <w:style w:type="character" w:customStyle="1" w:styleId="HeaderChar">
    <w:name w:val="Header Char"/>
    <w:basedOn w:val="DefaultParagraphFont"/>
    <w:link w:val="Header"/>
    <w:uiPriority w:val="99"/>
    <w:rsid w:val="00B002EE"/>
    <w:rPr>
      <w:rFonts w:ascii="Times New Roman" w:hAnsi="Times New Roman"/>
      <w:sz w:val="24"/>
    </w:rPr>
  </w:style>
  <w:style w:type="paragraph" w:styleId="Footer">
    <w:name w:val="footer"/>
    <w:basedOn w:val="Normal"/>
    <w:link w:val="FooterChar"/>
    <w:uiPriority w:val="99"/>
    <w:unhideWhenUsed/>
    <w:rsid w:val="00B002EE"/>
    <w:pPr>
      <w:tabs>
        <w:tab w:val="center" w:pos="4680"/>
        <w:tab w:val="right" w:pos="9360"/>
      </w:tabs>
    </w:pPr>
  </w:style>
  <w:style w:type="character" w:customStyle="1" w:styleId="FooterChar">
    <w:name w:val="Footer Char"/>
    <w:basedOn w:val="DefaultParagraphFont"/>
    <w:link w:val="Footer"/>
    <w:uiPriority w:val="99"/>
    <w:rsid w:val="00B002EE"/>
    <w:rPr>
      <w:rFonts w:ascii="Times New Roman" w:hAnsi="Times New Roman"/>
      <w:sz w:val="24"/>
    </w:rPr>
  </w:style>
  <w:style w:type="character" w:styleId="CommentReference">
    <w:name w:val="annotation reference"/>
    <w:basedOn w:val="DefaultParagraphFont"/>
    <w:uiPriority w:val="99"/>
    <w:semiHidden/>
    <w:unhideWhenUsed/>
    <w:rsid w:val="00B84895"/>
    <w:rPr>
      <w:sz w:val="16"/>
      <w:szCs w:val="16"/>
    </w:rPr>
  </w:style>
  <w:style w:type="paragraph" w:styleId="CommentText">
    <w:name w:val="annotation text"/>
    <w:basedOn w:val="Normal"/>
    <w:link w:val="CommentTextChar"/>
    <w:uiPriority w:val="99"/>
    <w:unhideWhenUsed/>
    <w:rsid w:val="00B84895"/>
    <w:rPr>
      <w:sz w:val="20"/>
      <w:szCs w:val="20"/>
    </w:rPr>
  </w:style>
  <w:style w:type="character" w:customStyle="1" w:styleId="CommentTextChar">
    <w:name w:val="Comment Text Char"/>
    <w:basedOn w:val="DefaultParagraphFont"/>
    <w:link w:val="CommentText"/>
    <w:uiPriority w:val="99"/>
    <w:rsid w:val="00B8489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84895"/>
    <w:rPr>
      <w:b/>
      <w:bCs/>
    </w:rPr>
  </w:style>
  <w:style w:type="character" w:customStyle="1" w:styleId="CommentSubjectChar">
    <w:name w:val="Comment Subject Char"/>
    <w:basedOn w:val="CommentTextChar"/>
    <w:link w:val="CommentSubject"/>
    <w:uiPriority w:val="99"/>
    <w:semiHidden/>
    <w:rsid w:val="00B84895"/>
    <w:rPr>
      <w:rFonts w:ascii="Times New Roman" w:hAnsi="Times New Roman"/>
      <w:b/>
      <w:bCs/>
      <w:sz w:val="20"/>
      <w:szCs w:val="20"/>
    </w:rPr>
  </w:style>
  <w:style w:type="paragraph" w:styleId="BalloonText">
    <w:name w:val="Balloon Text"/>
    <w:basedOn w:val="Normal"/>
    <w:link w:val="BalloonTextChar"/>
    <w:uiPriority w:val="99"/>
    <w:semiHidden/>
    <w:unhideWhenUsed/>
    <w:rsid w:val="00B848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48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4149D-4171-4064-B032-326BCACD1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1548</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2021-05-24T16:12:00Z</dcterms:created>
  <dcterms:modified xsi:type="dcterms:W3CDTF">2021-05-24T18:39:00Z</dcterms:modified>
</cp:coreProperties>
</file>